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69" w:lineRule="auto"/>
      </w:pPr>
      <w:r>
        <w:rPr>
          <w:rFonts w:ascii="Calibri" w:hAnsi="Calibri" w:eastAsia="Microsoft YaHei"/>
          <w:b/>
          <w:color w:val="606C7A"/>
          <w:sz w:val="22"/>
        </w:rPr>
        <w:t>项目实施方案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46"/>
        </w:rPr>
        <w:t>北京公交集团票务综合管理平台系统升级</w:t>
      </w:r>
    </w:p>
    <w:p>
      <w:pPr>
        <w:spacing w:after="280"/>
      </w:pPr>
      <w:r>
        <w:rPr>
          <w:rFonts w:ascii="Calibri" w:hAnsi="Calibri" w:eastAsia="Microsoft YaHei"/>
          <w:color w:val="606C7A"/>
          <w:sz w:val="30"/>
        </w:rPr>
        <w:t>Vibe Coding 实施方案与工作量清单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74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文档用途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用于项目立项、排期、报价拆分、研发组织和验收范围确认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编制日期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2026-05-08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需求来源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北京公交集团票务综合管理平台系统升级需求分析说明书（初稿0506）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估算口径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包含需求深化、设计、开发、自测、联调、迁移、测试配合和上线支持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简要结论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本项目按当前修订口径约 102 个工作条目，正常工作量约 713-1536 人日。Vibe Coding 对常规页面、脚手架、测试样例、文档和部分接口适配按 60% 以上提效目标组织；但核心业务、外部对接、报表口径、数据迁移和上线割接设置最低保护工时，因此全口径协同后工作量约 389-772 人日。该口径要求需求冻结、接口材料同步到位、自动化测试和人工评审强约束。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一、简要评估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3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建议口径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功能规模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102 个功能项，覆盖原需求 14 个一级模块，并补充外部系统对接、数据湖接口和待定事项工作量。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传统开发团队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10-12 人，8-10 个月完成；包含产品、前端、后端、数据迁移、测试、实施。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Vibe Coding 激进团队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8-10 人，4-5 个月完成；前提是需求冻结、接口材料及时、测试自动化、代码评审、业务验收和并行联调节奏全部到位。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Vibe Coding 稳妥团队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8-10 人，5-6 个月完成；适用于接口材料存在补充、报表口径需要多轮确认、迁移数据质量需要治理的情况。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外部条件受阻场景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6 个月以上；适用于数据湖、IC卡、胆款、电子签章等接口资料或联调环境延期，或安全合规要求后置补充。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核心难点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票号段连续性、库存流水、票单结算、报表口径、数据权限、历史数据迁移、数据湖/外部系统对接、国产化适配。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报价建议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完整建设建议按 450-650 万区间，稳妥报价点 520-580 万；效率提升主要压缩周期和重复劳动，不等于按同等比例降低报价；电子签章、等保测评、第三方授权另列。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二、模块工作量简表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模块</w:t>
            </w:r>
          </w:p>
        </w:tc>
        <w:tc>
          <w:tcPr>
            <w:tcW w:type="dxa" w:w="9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功能项数</w:t>
            </w:r>
          </w:p>
        </w:tc>
        <w:tc>
          <w:tcPr>
            <w:tcW w:type="dxa" w:w="12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正常人日</w:t>
            </w:r>
          </w:p>
        </w:tc>
        <w:tc>
          <w:tcPr>
            <w:tcW w:type="dxa" w:w="12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协同后人日</w:t>
            </w:r>
          </w:p>
        </w:tc>
        <w:tc>
          <w:tcPr>
            <w:tcW w:type="dxa" w:w="41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重点说明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基础信息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11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39-79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13-32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主数据维护和外部同步，是后续业务依赖。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申请管理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32-72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16-34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围绕库存流转、审批状态和票号段控制。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审核管理（集团）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32-72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16-34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围绕库存流转、审批状态和票号段控制。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票库管理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24-54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8-22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围绕库存流转、审批状态和票号段控制。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票柜管理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5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40-90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13-36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围绕库存流转、审批状态和票号段控制。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票单管理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10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70-140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33-62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票袋、配票、结算、重新结算、票号追溯，是核心复杂域。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退票管理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28-52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16-24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按业务场景完成查询、维护、导入导出和日志审计。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充值卡管理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5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36-80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12-32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按业务场景完成查询、维护、导入导出和日志审计。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统计报表（集团/分公司整合）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10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60-140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40-80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以口径确认、聚合性能、导出格式和权限过滤为重点。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统计报表（集团）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8-20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8-14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以口径确认、聚合性能、导出格式和权限过滤为重点。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统计报表（分公司）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6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24-58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16-34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以口径确认、聚合性能、导出格式和权限过滤为重点。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统计报表（票务室）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6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36-84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28-56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以口径确认、聚合性能、导出格式和权限过滤为重点。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综合业务管理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9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29-60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9-25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按业务场景完成查询、维护、导入导出和日志审计。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导入管理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18-39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9-19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按业务场景完成查询、维护、导入导出和日志审计。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系统管理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5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30-70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10-28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全局权限、菜单、日志、阈值，是平台底座。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外部系统对接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6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86-183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72-102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数据湖、二维码、银行清分、胆款、IC卡、电子签章等接口联调。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待定事项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32-96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24-49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需求边界未冻结，需补材料后确定开发、测试和报价口径。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专项工作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65-105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40-73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数据迁移、上线割接、培训和运维交接专项，不应混入普通功能项。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平台底座专项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24-42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8-17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消息中心、打印模板、异步导出等跨模块共用能力。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三、Vibe Coding 实施方式</w:t>
      </w:r>
    </w:p>
    <w:p>
      <w:pPr>
        <w:spacing w:after="120" w:line="269" w:lineRule="auto"/>
      </w:pPr>
      <w:r>
        <w:rPr>
          <w:rFonts w:ascii="Calibri" w:hAnsi="Calibri" w:eastAsia="Microsoft YaHei"/>
          <w:b w:val="0"/>
          <w:sz w:val="21"/>
        </w:rPr>
        <w:t>本方案中的 Vibe Coding 不是直接让工具一次性生成完整系统，而是把需求、设计、编码、测试、文档拆成小批量可验证任务。每个功能都按照“需求卡片 - 数据结构 - 接口 - 页面 - 测试 - 评审 - 合并”的节奏推进。</w:t>
      </w:r>
    </w:p>
    <w:p>
      <w:pPr>
        <w:pStyle w:val="ListNumber"/>
        <w:spacing w:after="60" w:line="269" w:lineRule="auto"/>
      </w:pPr>
      <w:r>
        <w:rPr>
          <w:rFonts w:ascii="Calibri" w:hAnsi="Calibri" w:eastAsia="Microsoft YaHei"/>
          <w:sz w:val="20"/>
        </w:rPr>
        <w:t>需求卡片化：每个页面或业务动作形成独立任务，明确角色、数据范围、输入输出、状态和验收标准。</w:t>
      </w:r>
    </w:p>
    <w:p>
      <w:pPr>
        <w:pStyle w:val="ListNumber"/>
        <w:spacing w:after="60" w:line="269" w:lineRule="auto"/>
      </w:pPr>
      <w:r>
        <w:rPr>
          <w:rFonts w:ascii="Calibri" w:hAnsi="Calibri" w:eastAsia="Microsoft YaHei"/>
          <w:sz w:val="20"/>
        </w:rPr>
        <w:t>先底座后业务：先完成认证、菜单、权限、字典、日志、导入导出、文件存储等平台能力。</w:t>
      </w:r>
    </w:p>
    <w:p>
      <w:pPr>
        <w:pStyle w:val="ListNumber"/>
        <w:spacing w:after="60" w:line="269" w:lineRule="auto"/>
      </w:pPr>
      <w:r>
        <w:rPr>
          <w:rFonts w:ascii="Calibri" w:hAnsi="Calibri" w:eastAsia="Microsoft YaHei"/>
          <w:sz w:val="20"/>
        </w:rPr>
        <w:t>核心域手工建模：票据库存、票号段、结算、退票、调账等领域模型由架构师和业务人员先确认，再进入编码。</w:t>
      </w:r>
    </w:p>
    <w:p>
      <w:pPr>
        <w:pStyle w:val="ListNumber"/>
        <w:spacing w:after="60" w:line="269" w:lineRule="auto"/>
      </w:pPr>
      <w:r>
        <w:rPr>
          <w:rFonts w:ascii="Calibri" w:hAnsi="Calibri" w:eastAsia="Microsoft YaHei"/>
          <w:sz w:val="20"/>
        </w:rPr>
        <w:t>批量生成常规代码：常规列表、表单、接口、DTO、Mapper、权限按钮、导入模板可以批量生成并统一 review。</w:t>
      </w:r>
    </w:p>
    <w:p>
      <w:pPr>
        <w:pStyle w:val="ListNumber"/>
        <w:spacing w:after="60" w:line="269" w:lineRule="auto"/>
      </w:pPr>
      <w:r>
        <w:rPr>
          <w:rFonts w:ascii="Calibri" w:hAnsi="Calibri" w:eastAsia="Microsoft YaHei"/>
          <w:sz w:val="20"/>
        </w:rPr>
        <w:t>测试前置：每个核心业务先写状态流转和金额/张数计算测试，避免只实现页面不验证账务逻辑。</w:t>
      </w:r>
    </w:p>
    <w:p>
      <w:pPr>
        <w:pStyle w:val="ListNumber"/>
        <w:spacing w:after="60" w:line="269" w:lineRule="auto"/>
      </w:pPr>
      <w:r>
        <w:rPr>
          <w:rFonts w:ascii="Calibri" w:hAnsi="Calibri" w:eastAsia="Microsoft YaHei"/>
          <w:sz w:val="20"/>
        </w:rPr>
        <w:t>小步交付：每个模块独立演示、独立验收、独立回归，不把问题积压到总体验收阶段。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3.1 可压缩与不可压缩工作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类别</w:t>
            </w:r>
          </w:p>
        </w:tc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可压缩内容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不可压缩/低压缩内容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管理要求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常规 CRUD 与页面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列表、表单、详情、权限按钮、DTO、Mapper、基础接口、前端页面可批量生成。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业务字段确认、页面原型确认、用户体验验收。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适合按 60% 以上提效估算。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核心票据业务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单据骨架、状态枚举、接口样板、测试样例可提效。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票号连续性、库存流水、结算口径、退票回写、调账规则。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设置最低保护工时，必须人工评审。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报表统计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查询页面、导出模板、聚合 SQL 初稿可提效。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指标口径、历史数据比对、金额/张数验收、旧系统样例核对。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口径确认和验收时间不按编码效率压缩。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外部系统对接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适配层、Mock 服务、接口日志、重试框架可提效。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接口文档等待、网络开通、联调排期、外部系统问题定位。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拆分内部开发工时和外部等待周期。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数据迁移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映射脚本、校验脚本、异常报告生成可提效。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历史脏数据处理、业务确认、割接窗口、抽样核验。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至少三轮演练，不压缩关键验证。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部署运维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部署脚本、巡检脚本、监控配置模板可提效。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生产网络、安全审查、备份恢复演练、回滚演练。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纳入上线准入条件。</w:t>
            </w:r>
          </w:p>
        </w:tc>
      </w:tr>
    </w:tbl>
    <w:p/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3.2 核心工作最低保护工时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工作类型</w:t>
            </w:r>
          </w:p>
        </w:tc>
        <w:tc>
          <w:tcPr>
            <w:tcW w:type="dxa" w:w="17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最低保护工时建议</w:t>
            </w:r>
          </w:p>
        </w:tc>
        <w:tc>
          <w:tcPr>
            <w:tcW w:type="dxa" w:w="51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原因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票单结算、重新结算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单项不低于 8-12 人日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涉及金额、张数、票号段、重新结算和历史追溯，不能只按页面复杂度估算。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退票、调票、调账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单项不低于 8-12 人日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会影响库存回写、流水一致性和报表口径。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数据湖、IC 卡、胆款接口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单接口不低于 15-20 人日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需字段确认、鉴权、安全、日志、联调、失败补偿和验收样例。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银行清分导入/自动对账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不低于 12-18 人日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需文件模板、重复导入控制、异常明细、人工复核和对账规则。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核心报表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单张不低于 4-8 人日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报表开发本身可提效，但口径和数据核对需要保留时间。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数据迁移与割接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专项不低于 50-80 人日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迁移脚本、三轮演练、异常治理、割接和回滚不可省略。</w:t>
            </w:r>
          </w:p>
        </w:tc>
      </w:tr>
    </w:tbl>
    <w:p/>
    <w:p>
      <w:pPr>
        <w:spacing w:after="120" w:line="269" w:lineRule="auto"/>
      </w:pPr>
      <w:r>
        <w:rPr>
          <w:rFonts w:ascii="Calibri" w:hAnsi="Calibri" w:eastAsia="Microsoft YaHei"/>
          <w:b w:val="0"/>
          <w:sz w:val="19"/>
        </w:rPr>
        <w:t>下表给出 Vibe Coding 协同后的实施护栏，适用于详细功能项清单。它不是传统正常工作量，而是协同开发后仍需保留的区间口径；数据迁移一行的 30-55 人日为协同后专项口径，与上一表传统 50-80 人日并存不冲突。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工作类别</w:t>
            </w:r>
          </w:p>
        </w:tc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协同后人日护栏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适用功能项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票单结算/重新结算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8-12 人日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票单结算、票单重新结算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按保护工时修正表 19，不再直接套用统一压缩系数。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退票/调票/调账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8-12 人日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票袋退票、票柜退票、票袋调票、调账管理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涉及库存回写、流水一致性和报表回写。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数据湖/IC 卡接口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15-20 人日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数据湖、IC 卡/一卡通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含字段确认、鉴权、安全、日志、联调和失败补偿。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胆款接口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15-18 人日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票款清分/胆款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以清分日报同步、补偿、对账为主，按中等接口复杂度预留。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银行清分/自动对账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12-18 人日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银行清分清点、无人售票自动对账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含文件模板、重复导入控制、异常明细和人工复核。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核心报表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4-8 人日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日结、月结、清分、收入、趋势等核心报表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报表口径和旧系统样例核对不按编码效率压缩。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数据迁移与割接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30-55 人日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Oracle 到达梦迁移、三轮演练、增量割接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协同可提效脚本和报告生成，但数据治理和演练需保留周期。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四、实施步骤简表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2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11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周期</w:t>
            </w:r>
          </w:p>
        </w:tc>
        <w:tc>
          <w:tcPr>
            <w:tcW w:type="dxa" w:w="43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主要工作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交付物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0. 需求冻结与切片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1.5-2 周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需求清单、业务流程、角色权限、报表口径、接口范围、迁移对象确认；同步拆成可并行任务卡。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需求矩阵、原型、报表口径表、接口清单、迁移清单、任务切片清单。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1. 平台底座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2.5-3 周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登录、用户、角色、菜单、数据权限、日志、字典、阈值、消息、文件导入导出。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可登录可授权的基础系统。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2. 基础与库存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4-5 周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基础资料、票库、票柜、审批、库存余额和流水。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库存闭环 MVP。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3. 票单核心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5-6 周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票袋、配票、结算、重新结算、退票、票号查询。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票务室核心业务闭环。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4. 扩展业务与报表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4-5 周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无人售、充值、特殊业务、集团/分公司/票务室报表。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完整业务与统计能力。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5. 迁移联调上线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4-6 周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数据迁移、接口联调、UAT、性能、安全整改、上线演练。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生产上线版本与运维交接材料。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周期口径说明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上表阶段存在并行关系，不应简单相加。平台底座完成 60%-70% 后，基础信息、库存、报表模板、接口 Mock、迁移脚本可并行推进。若甲方接口材料、报表口径、历史样例数据无法同步提供，周期应切换到 5-6 个月或 6 个月以上口径。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五、关键设计细节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5.1 库存与票号设计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采用“库存余额表 + 库存流水表 + 业务单据表”三层模型，不以单一库存字段承载全部业务历史。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票号段字段统一包含票价、票种、票组、起号、止号、张数、状态、库存主体、来源单据。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所有出入库动作必须写流水，流水记录来源、目标、数量、金额、操作人、操作时间和业务原因。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连续票号段需校验重叠、断号、越界、已核销、已退票、已结算等状态。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重新结算不得覆盖原记录，应形成更正单据和差异流水，保证历史可追溯。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5.2 权限与数据范围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权限拆分为菜单权限、按钮权限、接口权限、数据范围权限和导出权限。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集团管理员可分配全局权限；集团操作员按授权查看部分分公司；分公司角色默认本分公司；票务室角色只看本票务室。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后端查询必须统一注入数据范围条件，不能只依赖前端隐藏菜单。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导出、打印、报表接口必须复用同一套数据权限规则。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5.3 报表设计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每张报表上线前先确认指标定义、筛选条件、统计维度、取数来源、金额精度、导出格式。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集团和分公司同类报表尽量合并，用数据权限和维度字段控制展示结果。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高频报表建立日汇总/月汇总表，避免每次查询实时扫大量流水。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报表验收必须使用旧系统样例数据做金额和张数比对。</w:t>
      </w:r>
    </w:p>
    <w:p>
      <w:pPr>
        <w:pStyle w:val="Heading3"/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5.3.1 消息中心、阈值预警与打印模板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能力</w:t>
            </w:r>
          </w:p>
        </w:tc>
        <w:tc>
          <w:tcPr>
            <w:tcW w:type="dxa" w:w="49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设计内容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待确认事项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消息中心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统一承载阈值预警、申请待审核、审核结果、导入失败、接口失败、结账提醒等站内消息。支持未读/已读、弹窗提醒、按角色过滤。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是否需要短信、企业微信、邮件等外部通知；提醒频率和免打扰规则。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阈值预警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阈值管理配置指标、阈值类型、适用组织、提醒对象；达到阈值时进入消息中心并在用户打开系统时提醒。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具体阈值指标、计算频率、是否需要定时任务预计算。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审批待办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印制、调拨、核销、调账、退票、销毁等流程统一生成待办消息，支持跳转到对应单据。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各流程审批层级和超时提醒规则。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打印模板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票单配票、票单结算、票单查询整合配票单/结算单打印；票单打印菜单删除但打印能力保留。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纸张规格、打印机环境、页眉页脚、签字栏、是否套打。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Excel 导出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报表、库存、流水、查询列表提供导出；大数据量导出采用异步任务和下载中心。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导出字段、文件格式、最大导出量、是否水印。</w:t>
            </w:r>
          </w:p>
        </w:tc>
      </w:tr>
    </w:tbl>
    <w:p/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5.4 数据迁移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迁移对象包括 Oracle 表、序列、视图、函数、历史业务数据和必要附件。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先做数据体检，输出重复票号、缺失组织、异常状态、金额不平、非法日期等问题清单。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至少执行三轮迁移演练：开发、测试、准生产，每轮生成记录数、金额、票号覆盖和异常清单。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上线割接需要冻结旧系统写入、执行增量迁移、业务抽样核验，并保留回滚方案。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5.5 数据湖与外部系统对接</w:t>
      </w:r>
    </w:p>
    <w:p>
      <w:pPr>
        <w:spacing w:after="120" w:line="269" w:lineRule="auto"/>
      </w:pPr>
      <w:r>
        <w:rPr>
          <w:rFonts w:ascii="Calibri" w:hAnsi="Calibri" w:eastAsia="Microsoft YaHei"/>
          <w:b w:val="0"/>
          <w:sz w:val="21"/>
        </w:rPr>
        <w:t>重新审查需求文档后，外部系统对接不能只作为技术预留处理。数据湖、二维码系统、银行清分、票款清分/胆款系统、IC 卡系统、电子签章均会影响接口设计、数据模型、测试样例、部署网络和验收边界。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对接对象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需求依据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设计内容</w:t>
            </w:r>
          </w:p>
        </w:tc>
        <w:tc>
          <w:tcPr>
            <w:tcW w:type="dxa" w:w="1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工作量建议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待确认事项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公交集团数据湖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3.3.1 要求对外提供统一标准数据接口，用于数据湖获取票务系统数据。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建设数据服务接口、字段字典、鉴权加密、调用日志、频率控制、失败重试、样例数据。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18-35 人日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数据范围、推送/拉取模式、接口协议、传输频率、加密算法、验收样例。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二维码系统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3.3.1 与数据湖并列；附录中二维码报表页面拟删除。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确认页面删除后是否仍需保留二维码相关数据服务；如保留，需建立接口或数据集。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12-28 人日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页面删除是否等于业务下线；历史二维码数据是否迁移；是否还要对外供数。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银行清分清点系统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3.3.2 明确银行无网环境，通过线下报表、手动导入方式对接。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设计导入模板、字段校验、重复导入控制、失败明细、导入日志、人工确认流程。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15-32 人日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银行文件格式、清分日报字段、异常处理、是否需要自动对账。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票款清分/胆款系统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3.3.3 由票务系统导入数据后同步胆款系统，拓展部分待明确。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设计清分日报同步接口、对账字段、同步状态、失败重试、补偿任务和接口日志。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15-32 人日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同步方向、字段口径、触发时点、接口环境、失败重传和对账责任。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IC 卡/一卡通系统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3.3.4；线路、车辆、司售等基础信息来自 IC 卡系统同步。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建设主数据同步、增量更新、异常补偿、数据映射、同步日志和人工修正入口。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18-36 人日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接口文档、同步频率、主数据归属、历史数据映射、异常数据处理。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电子签章系统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功能需求中说明根据业务后续评估再升级，特殊业务提供在线签字确认。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一期预留签章对象、签章状态、附件归档和业务钩子；正式接口联调可单列。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8-20 人日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签章厂商、CA/证书、签章流程、法律效力、附件存储、费用授权。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5.5.1 数据湖接口细化设计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5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设计项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建议方案</w:t>
            </w:r>
          </w:p>
        </w:tc>
        <w:tc>
          <w:tcPr>
            <w:tcW w:type="dxa" w:w="30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需要确认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数据目录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建立票务主数据、库存流水、单据审批、票单结算、充值收入、无人售清分、报表汇总等数据集目录。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数据湖实际需要哪些主题域，是否需要历史全量数据。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同步模式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支持全量初始化 + 增量同步；增量可按更新时间、业务流水号或同步批次号识别。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数据湖是主动拉取还是票务系统主动推送。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接口形态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优先 REST/OpenAPI；大批量历史数据可采用文件交换或定时批量导出。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接口协议、网络通道、文件格式、字符集和压缩方式。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安全与加密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接口鉴权、签名、时间戳、防重放、传输加密、敏感字段脱敏、调用白名单。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集团安全要求、密钥管理方式、是否要求国密算法。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数据质量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提供记录数、金额合计、张数合计、批次状态、失败明细和重传机制。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数据湖验收规则、质量阈值、错误处理责任边界。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版本管理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字段字典和接口版本化，新增字段向后兼容，重大变更需变更单。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数据湖侧是否有统一接口规范和版本发布流程。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审计监控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记录调用方、接口、时间、参数摘要、返回状态、耗时、错误信息和重试次数。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日志留存周期、审计字段、告警推送方式。</w:t>
            </w:r>
          </w:p>
        </w:tc>
      </w:tr>
    </w:tbl>
    <w:p/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5.6 待定事项与范围冻结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7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待定事项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需求文档表述</w:t>
            </w:r>
          </w:p>
        </w:tc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影响</w:t>
            </w:r>
          </w:p>
        </w:tc>
        <w:tc>
          <w:tcPr>
            <w:tcW w:type="dxa" w:w="27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冻结前处理建议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第三方对接模块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待提供具体接口材料。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影响接口工作量、排期、联调环境和报价边界。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把接口文档、样例数据、联调账号、验收规则作为开工前置条件。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安全性要求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待集团补充确认。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影响账号策略、日志留存、接口加密、部署网络和等保/密评。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形成安全需求清单，明确是否含等保、密评、信创测评配合。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调账管理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具体业务场景待明确。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影响库存、金额、报表和审计追溯。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明确可调对象、审批层级、是否影响历史报表、是否需要会计凭证。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特殊票管理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具体业务场景待明确。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影响是否纳入库存流水、收入统计和报表。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明确特殊票类型、领取/核销/结算流程和数据口径。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无人售票自动对账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功能范围中提出新增无人售票自动对账、数据清洗。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影响银行清分导入、异常处理和对账算法。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明确银行文件格式、对账口径、容差规则、人工复核流程。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电子签章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后续根据业务评估再升级。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影响特殊业务闭环和第三方费用。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一期只做预留还是完整接入需在合同中明确。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5.6.1 范围边界与报价口径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事项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建议纳入一期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建议单列/待确认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原因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数据湖接口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接口框架、字段字典、调用日志、Mock 联调、已确认数据集。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数据湖侧未确认的数据集、特殊加密、历史全量大批量交换。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数据范围和集团安全规范会直接影响工作量。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二维码系统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保留必要数据接口占位和历史数据确认。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若页面删除后仍要求完整二维码统计供数，应单列确认。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需求中页面拟删除，但 3.3.1 仍提到二维码系统。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电子签章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签章状态、附件字段、业务钩子、归档能力预留。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完整电子签章厂商联调、CA 授权、法律效力流程。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需求明确后续评估再升级。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等保/密评/信创测评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基础安全设计、日志审计、国产化适配。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正式测评整改、测评材料、第三方平台对接。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需求中安全性待集团补充确认。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调账/特殊票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基础单据与菜单预留。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完整业务规则、报表影响、会计口径调整。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原文标注具体业务场景待明确。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无人售自动对账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导入、清分日报、异常记录基础能力。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自动对账算法、容差规则、异常闭环和清洗策略。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原文提出新增能力但规则未展开。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序号</w:t>
            </w:r>
          </w:p>
        </w:tc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冻结对象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冻结物</w:t>
            </w:r>
          </w:p>
        </w:tc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责任方</w:t>
            </w:r>
          </w:p>
        </w:tc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截止节点</w:t>
            </w:r>
          </w:p>
        </w:tc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未冻结后果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1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二维码业务边界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业务下线/仅删菜单/仍需对外供数三选一书面确认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集团业务部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第 1 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进入稳妥计划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2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调账管理业务场景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可调对象、审批层级、是否影响历史报表、是否需会计凭证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集团财务/业务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第 2 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单列变更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3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特殊票管理业务场景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特殊票类型、领取/核销/结算流程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集团业务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第 2 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单列变更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4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银行清分文件格式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字段、分隔符、字符集、对账容差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银行/集团清算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第 3 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银行清分项延后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5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安全合规等级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等保二级/三级、是否含密评/信创测评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集团信息安全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第 4 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安全整改后置或单列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6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电子签章范围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一期预留/一期完整接入 + CA 厂商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集团法务/业务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第 8 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一期仅做预留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7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数据湖数据集与协议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主题域、推/拉、加密算法、验收样例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数据湖团队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第 4 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数据湖仅交付框架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8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IC 卡同步主数据归属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线路/车辆/司售数据源、增量字段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一卡通公司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第 4 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协同人日上调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9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报表口径样例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集团/分公司/票务室各类报表旧系统样例数据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集团业务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第 6 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报表验收延后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10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达梦双套许可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生产主备 + 开发测试主备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集团采购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第 8 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不影响开发但影响联调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六、部署与可运维性设计</w:t>
      </w:r>
    </w:p>
    <w:p>
      <w:pPr>
        <w:spacing w:after="120" w:line="269" w:lineRule="auto"/>
      </w:pPr>
      <w:r>
        <w:rPr>
          <w:rFonts w:ascii="Calibri" w:hAnsi="Calibri" w:eastAsia="Microsoft YaHei"/>
          <w:b w:val="0"/>
          <w:sz w:val="21"/>
        </w:rPr>
        <w:t>本项目属于票务核心管理系统，部署和运维能力应在一期同步设计，不能等到开发完成后补。运维设计目标是：可部署、可监控、可审计、可备份、可恢复、可灰度、可回滚。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6.0 基础资源与容量规划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资源项</w:t>
            </w:r>
          </w:p>
        </w:tc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原始需求口径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设计建议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用户规模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总量 &gt;200 名，峰值 150 名在线。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按 150 在线用户进行压力测试，报表、导入、结账等高负载场景单独压测。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服务器资源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3 台服务器：2 台数据库服务器，1 台应用服务器；总计 24vCPU、96G 内存。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基础方案按 1 台应用主机交付；应用双节点仅作为建议位预留或二期可选，不纳入基础资源口径。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数据库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达梦数据库 2 套：生产 1 套主备 + 开发测试 1 套主备。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达梦许可由甲方采购或在合同中单列；SQL 兼容性需前置验证，重点关注 Oracle 迁移函数、序列、视图和报表 SQL。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历史数据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Oracle 历史数据约 200GB，涉及 79 张表、序列、视图、函数等。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先做数据体检和迁移映射，历史数据全量迁移后再做增量割接。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对象存储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10 年存储需求约 800-1000G OBS。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导入文件、导出报表、签章附件、迁移中间文件需制定生命周期和归档策略。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网络资源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业务应用、数据库、数据中心服务器、线网中心内网需互通；涉及 192.168.99.x、10.129.87.x 和外网映射。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上线前完成网络连通性、端口、白名单、接口访问、文件交换路径和外网 NAT 映射确认。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资源与许可边界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基础部署严格对齐原始需求 3 台服务器口径。应用双节点、双活容灾、第三方运维平台对接、OBS 异地副本属于建议项或二期可选。达梦数据库授权、国产服务器与操作系统、国产中间件与浏览器、电子签章 CA 与硬件介质、等保/密评/信创测评费用，由甲方采购或在合同中单列。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运维领域</w:t>
            </w:r>
          </w:p>
        </w:tc>
        <w:tc>
          <w:tcPr>
            <w:tcW w:type="dxa" w:w="60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设计要求</w:t>
            </w:r>
          </w:p>
        </w:tc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工作量建议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环境规划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至少规划开发、测试、预生产、生产四类环境；生产采用应用服务与数据库分离部署，数据库主备。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12-18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国产化适配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适配达梦数据库、国产服务器操作系统、国产中间件或 Nginx/应用服务部署要求，提前验证驱动和 SQL 兼容性。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20-35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配置管理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数据库连接、文件存储、外部接口、导入目录、日志级别、任务开关全部配置化，避免写死在代码中。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8-12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CI/CD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建立构建、单元测试、打包、制品归档、部署脚本流程；生产部署需支持版本标记和回滚。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15-25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日志审计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区分业务操作日志、登录日志、接口日志、导入导出日志、系统错误日志；关键单据状态变化必须可追溯。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15-25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监控告警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监控应用存活、接口耗时、数据库连接池、慢 SQL、磁盘空间、导入任务、定时任务和异常错误率。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15-25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备份恢复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数据库全量/增量备份，导入文件和导出附件备份，定期恢复演练，形成恢复时间目标。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12-20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上线回滚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上线前冻结窗口、迁移脚本、冒烟检查、业务抽样、失败回滚、旧系统只读策略均需预案。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15-25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运维交接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提供部署手册、配置手册、巡检手册、常见问题、数据恢复手册和接口联调手册。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10-18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外部接口运维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对数据湖、IC卡、胆款、银行清分导入等接口建立调用日志、失败告警、重试补偿和手工补传工具。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20-35 人日</w:t>
            </w:r>
          </w:p>
        </w:tc>
      </w:tr>
    </w:tbl>
    <w:p/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6.1 运维验收指标建议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指标</w:t>
            </w:r>
          </w:p>
        </w:tc>
        <w:tc>
          <w:tcPr>
            <w:tcW w:type="dxa" w:w="35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建议值/要求</w:t>
            </w:r>
          </w:p>
        </w:tc>
        <w:tc>
          <w:tcPr>
            <w:tcW w:type="dxa" w:w="43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RPO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核心业务数据建议 ≤ 15 分钟；最终以甲方灾备要求和上线前验证为准。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通过达梦主备同步和定时归档备份兜底；如要求 RPO ≤ 5 分钟需开启同步复制并单独验收。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RTO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普通故障 2 小时内恢复；重大故障按应急预案切换或回滚。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需在上线前完成恢复演练和回滚演练。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日志留存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操作日志、登录日志、接口日志建议不少于 180 天；审计类日志可按集团要求延长。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满足操作追溯、接口追踪和安全审计。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接口重试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外部接口失败建议自动重试 3 次，仍失败进入补偿队列并告警。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适用于数据湖、IC 卡、胆款等接口。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导入失败处理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导入失败必须生成失败明细，可下载、可修正、可重新导入。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适用于银行清分、无人售、残币、充值等文件导入场景。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慢 SQL 阈值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建议 2 秒以上记录慢 SQL，5 秒以上告警或进入优化清单。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重点关注报表查询、库存查询和迁移后 SQL。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备份恢复演练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上线前至少 1 次，正式运行后建议每季度 1 次。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演练结果纳入运维交接材料。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生产配置管理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密钥、数据库连接、接口地址、文件路径、任务开关全部外置配置。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避免生产环境硬编码和手工改包。</w:t>
            </w:r>
          </w:p>
        </w:tc>
      </w:tr>
    </w:tbl>
    <w:p/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6.2 性能、可靠性与兼容性验收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验收项</w:t>
            </w:r>
          </w:p>
        </w:tc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建议指标</w:t>
            </w:r>
          </w:p>
        </w:tc>
        <w:tc>
          <w:tcPr>
            <w:tcW w:type="dxa" w:w="46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在线用户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按峰值 150 在线用户设计压测场景。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覆盖登录、列表查询、库存查询、票单结算、报表查询。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普通查询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常规列表查询建议 2 秒内返回。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大数据量查询需分页、索引和权限过滤优化。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报表查询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常用日报/月报建议 5-10 秒内返回；复杂历史报表可异步生成。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高频报表建议使用汇总表或预计算。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Excel 导出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大文件导出使用异步任务，完成后下载，避免浏览器长时间等待。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需限制单次最大导出量和导出权限。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文件导入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导入任务异步执行，失败明细可下载，可修正后重导。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适用于银行清分、无人售、残币、充值等模板。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可靠性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关键业务异常必须事务回滚，不产生半库存、半流水状态。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票据库存、结算、退票、调账为重点。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浏览器兼容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优先支持 Chrome、Edge 及甲方内网指定国产浏览器。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打印、上传、下载需在目标浏览器验证。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打印兼容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配票单、结算单需验证纸张、页边距、分页和打印机兼容。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票单打印菜单删除，但打印能力保留到查询/结算入口。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压测场景</w:t>
            </w:r>
          </w:p>
        </w:tc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建议并发/数据量</w:t>
            </w:r>
          </w:p>
        </w:tc>
        <w:tc>
          <w:tcPr>
            <w:tcW w:type="dxa" w:w="36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通过判据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工具建议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登录与菜单加载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150 在线用户，分批登录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登录成功率稳定，菜单加载无明显超时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JMeter/Locust 或甲方指定工具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库存查询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50 并发，按分公司/票务室/票号段查询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常规查询 2 秒内，大查询分页返回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JMeter/Locust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票单结算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20 并发，含票号段计算和保存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事务一致，无半库存/半流水状态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接口压测 + 场景脚本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报表查询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20 并发，日报/月报/清分报表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常用报表 5-10 秒内，复杂报表异步生成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接口压测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Excel 导出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10 并发，大数据量导出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进入异步任务，不阻塞浏览器请求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接口压测 + 文件校验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文件导入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5 并发，银行清分/残币/充值模板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失败明细准确，可修正后重导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批量导入脚本</w:t>
            </w:r>
          </w:p>
        </w:tc>
      </w:tr>
    </w:tbl>
    <w:p/>
    <w:p>
      <w:pPr>
        <w:spacing w:after="120" w:line="269" w:lineRule="auto"/>
      </w:pPr>
      <w:r>
        <w:rPr>
          <w:rFonts w:ascii="Calibri" w:hAnsi="Calibri" w:eastAsia="Microsoft YaHei"/>
          <w:b w:val="0"/>
          <w:sz w:val="19"/>
        </w:rPr>
        <w:t>压测完成后需执行数据一致性核验脚本，至少校验：库存余额等于流水汇总、票号段数量等于起号至止号枚举数量、单据金额等于明细金额汇总。核验结果应纳入性能测试报告。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6.3 交付物、培训与运维交接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交付类别</w:t>
            </w:r>
          </w:p>
        </w:tc>
        <w:tc>
          <w:tcPr>
            <w:tcW w:type="dxa" w:w="38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交付物</w:t>
            </w:r>
          </w:p>
        </w:tc>
        <w:tc>
          <w:tcPr>
            <w:tcW w:type="dxa" w:w="40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需求与设计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需求矩阵、功能清单、原型、数据库设计、接口设计、报表口径表。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作为验收范围和变更管理基线。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开发交付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源代码、构建脚本、部署包、数据库脚本、迁移脚本、导入模板、打印模板。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版本需可追溯，生产发布包需归档。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测试交付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测试用例、接口测试报告、性能测试报告、UAT 问题清单、回归测试报告。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重点覆盖库存流水、结算、权限、报表、迁移。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数据迁移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迁移方案、字段映射、迁移脚本、数据体检报告、迁移核对报告、割接记录。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至少三轮迁移演练后上线。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运维文档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部署手册、配置手册、巡检手册、备份恢复手册、接口补偿手册、应急回滚预案。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交付给甲方运维团队。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用户材料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用户操作手册、管理员手册、培训课件、常见问题清单。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按集团、分公司、票务室角色分别组织培训。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培训安排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管理员培训、业务操作培训、报表核对培训、运维培训。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建议至少 2 轮：上线前集中培训，上线后问题复盘培训。</w:t>
            </w:r>
          </w:p>
        </w:tc>
      </w:tr>
    </w:tbl>
    <w:p/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6.4 目标环境矩阵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2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维度</w:t>
            </w:r>
          </w:p>
        </w:tc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必测项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选测项</w:t>
            </w:r>
          </w:p>
        </w:tc>
        <w:tc>
          <w:tcPr>
            <w:tcW w:type="dxa" w:w="33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备注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浏览器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Chrome 100+、Edge 100+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奇安信浏览器、UOS 浏览器、360 安全浏览器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甲方信创浏览器需提供具体版本。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操作系统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Windows 10/11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统信 UOS、麒麟 V10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服务端和客户端分别声明。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打印机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1 款激光 + 1 款针打（甲方提供型号）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热敏打印机（如有）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票务打印多用针打，纸张需现场调试。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屏幕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1920×1080 桌面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1366×768 笔记本、4K 屏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UI 适配最小宽度建议 1366。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网络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内网 100M/1G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跨区域内网带宽 ≥ 50M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报表和导出场景按 50M 估算。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部署工作量口径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部署与运维建设建议单独预留 140-235 人日，其中外部接口运维、失败补偿和告警监控需纳入一期。如果甲方要求等保测评、密评配合、信创测评、双活容灾或第三方运维平台对接，应另行增加专项工作量和报价。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七、详细功能项清单</w:t>
      </w:r>
    </w:p>
    <w:p>
      <w:pPr>
        <w:spacing w:after="120" w:line="269" w:lineRule="auto"/>
      </w:pPr>
      <w:r>
        <w:rPr>
          <w:rFonts w:ascii="Calibri" w:hAnsi="Calibri" w:eastAsia="Microsoft YaHei"/>
          <w:b w:val="0"/>
          <w:sz w:val="21"/>
        </w:rPr>
        <w:t>以下清单按需求文档附录逐项展开。正常人日为完整开发、自测、联调配合口径；协同后人日为采用 Vibe Coding 方式后的执行估算，不包含甲方等待、接口资料延迟和重大需求变更。</w:t>
      </w:r>
    </w:p>
    <w:p>
      <w:pPr>
        <w:sectPr>
          <w:headerReference w:type="default" r:id="rId9"/>
          <w:footerReference w:type="default" r:id="rId10"/>
          <w:pgSz w:w="12240" w:h="15840"/>
          <w:pgMar w:top="1224" w:right="1296" w:bottom="1224" w:left="1296" w:header="648" w:footer="648" w:gutter="0"/>
          <w:cols w:space="720"/>
          <w:docGrid w:linePitch="360"/>
        </w:sectPr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详细功能项与工作量估算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5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序号</w:t>
            </w:r>
          </w:p>
        </w:tc>
        <w:tc>
          <w:tcPr>
            <w:tcW w:type="dxa" w:w="13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模块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功能页面</w:t>
            </w:r>
          </w:p>
        </w:tc>
        <w:tc>
          <w:tcPr>
            <w:tcW w:type="dxa" w:w="1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类型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现有功能</w:t>
            </w:r>
          </w:p>
        </w:tc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开发内容</w:t>
            </w:r>
          </w:p>
        </w:tc>
        <w:tc>
          <w:tcPr>
            <w:tcW w:type="dxa" w:w="83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正常人日</w:t>
            </w:r>
          </w:p>
        </w:tc>
        <w:tc>
          <w:tcPr>
            <w:tcW w:type="dxa" w:w="83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协同后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难点/备注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票务室管理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查询、新建、修改、删除、绑定车队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票务室管理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线路管理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添加、编辑、删除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线路管理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票价管理（集团账号）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添加、编辑、删除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票价管理（集团账号）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车辆管理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添加、编辑、删除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车辆管理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司售管理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添加、编辑、删除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司售管理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普票类型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普票类型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充值类型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充值类型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机具查询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查询维护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机具查询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3-6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1.0-2.4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以查询、筛选、详情、导出或基础维护为主。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模版下载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下载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模版下载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多样化运营类型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多样化运营类型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IC卡类型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IC卡类型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申请管理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印制管理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印制管理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申请管理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调拨管理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调拨管理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申请管理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核销管理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核销管理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申请管理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调账管理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调账管理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审核管理（集团）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印制审核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印制审核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审核管理（集团）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调拨审核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调拨审核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审核管理（集团）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核销审核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核销审核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审核管理（集团）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调账审核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调账审核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票库管理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票库库存查询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票库库存查询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票库管理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票库出库查询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票库出库查询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票库管理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票库入库查询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票库入库查询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票柜库存查询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票柜库存查询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票柜入库查询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票柜入库查询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票柜出库查询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票柜出库查询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配票申请管理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申请、详细查看、主动配票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配票申请管理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票务室调票管理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调票、详细查看、单张/批量调票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票务室调票管理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票袋管理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添加、更换线路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票袋管理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票单配票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加载数据、配票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票单配票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票单结算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加载数据、结算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票单结算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14-26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票单打印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打印配票单、打印结算单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票单打印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票单查询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票袋调票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调票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票袋调票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14-26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无人售管理（线路）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添加、管理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无人售管理（线路）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无人售管理（车辆）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添加、结账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无人售管理（车辆）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票单重新结算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重新结算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票单重新结算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14-26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票号查询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票号查询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退票管理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票袋退票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连续退票、单张退票、详细查看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票袋退票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14-26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退票管理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票柜退票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连续退票、单张退票、详细查看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票柜退票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14-26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分公司IC卡库存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查询、分发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分公司IC卡库存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分公司IC卡入库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入库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分公司IC卡入库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分公司IC卡出库查询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分公司IC卡出库查询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网点IC卡库存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查询、退回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网点IC卡库存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网点IC卡售出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售出记录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网点IC卡售出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统计报表（集团/分公司整合）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配出统计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配出统计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统计报表（集团/分公司整合）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存售日报表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统计查询、生成日报表、删除日报表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存售日报表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统计报表（集团/分公司整合）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普票收入日报表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普票收入日报表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二维码普票进出站统计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二维码普票进出站统计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二维码普票售检统计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二维码普票售检统计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月终结算报表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月终结算报表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统计报表（集团/分公司整合）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票款清分日报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统计查询、按阶段导出excel、导出excel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票款清分日报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统计报表（集团/分公司整合）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IC卡充值日报表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IC卡充值日报表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统计报表（集团/分公司整合）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IC卡充值走势报表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IC卡充值走势报表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统计报表（集团/分公司整合）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收入走势报表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收入走势报表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统计报表（集团/分公司整合）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大额币走势报表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大额币走势报表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统计报表（集团/分公司整合）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残币入账走势报表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残币入账走势报表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统计报表（集团/分公司整合）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分公司票务管理月报表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分公司票务管理月报表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月报表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月报表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二维码普票进出站统计（集团）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二维码普票进出站统计（集团）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二维码普票售检统计（集团）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二维码普票售检统计（集团）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IC卡充值网点统报表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IC卡充值网点统报表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充值点充值卡盘点表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充值点充值卡盘点表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分公司收入核对报表（分公司权限）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分公司收入核对报表（分公司权限）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统计报表（票务室）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票务室日结报表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统计查询、结账、导出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票务室日结报表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统计报表（票务室）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票袋结存报表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统计查询、结账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票袋结存报表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统计报表（票务室）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票务室存售日报表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统计查询、结账、导出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票务室存售日报表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统计报表（票务室）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票务室交班对账表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票务室交班对账表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统计报表（票务室）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票务室存售月报表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票务室存售月报表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统计报表（票务室）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票款实交银行登记表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统计查询、结账、删除、导出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票款实交银行登记表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特殊票管理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添加、管理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特殊票管理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充值卡/发票管理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充值卡/发票管理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充值收入管理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导入导出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添加、充值导入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充值收入管理 模板下载、文件上传、字段校验、入库处理、失败明细和导入日志。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5-10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1.6-4.0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需模板、字段校验、失败明细、导入日志和重复处理。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票胆管理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添加、管理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票胆管理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异物管理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添加、编辑、领取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异物管理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大额币管理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添加、管理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大额币管理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残币管理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添加、管理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残币管理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包专管理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管理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包专管理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多样化运营登记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添加、登记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多样化运营登记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导入管理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残币导入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导入导出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上传（分公司/票务室）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残币导入 模板下载、文件上传、字段校验、入库处理、失败明细和导入日志。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5-10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1.6-4.0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需模板、字段校验、失败明细、导入日志和重复处理。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导入管理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无人售导入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导入导出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上传（分公司/票务室）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无人售导入 模板下载、文件上传、字段校验、入库处理、失败明细和导入日志。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5-10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1.6-4.0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需模板、字段校验、失败明细、导入日志和重复处理。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导入管理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配票应急导入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上传excel、上传票袋数据（分公司/票务室）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配票应急导入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导入管理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充值导入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上传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充值导入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系统管理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用户管理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添加、编辑、编辑操作权限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用户管理 的配置管理、权限控制、审计记录、查询筛选和维护页面。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1.9-5.6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需统一认证授权、按钮权限、数据范围和审计记录。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系统管理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阈值管理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阈值管理 的配置管理、权限控制、审计记录、查询筛选和维护页面。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1.9-5.6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需统一认证授权、按钮权限、数据范围和审计记录。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系统管理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权限管理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添加、编辑（分公司/票务室权限）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权限管理 的配置管理、权限控制、审计记录、查询筛选和维护页面。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1.9-5.6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需统一认证授权、按钮权限、数据范围和审计记录。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系统管理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菜单管理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菜单管理 的配置管理、权限控制、审计记录、查询筛选和维护页面。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1.9-5.6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需统一认证授权、按钮权限、数据范围和审计记录。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系统管理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登录日志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登录日志 的配置管理、权限控制、审计记录、查询筛选和维护页面。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1.9-5.6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需统一认证授权、按钮权限、数据范围和审计记录。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外部系统对接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公交集团数据湖标准数据接口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外部对接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统一数据接口、数据格式、传输频率、安全保障、数据加密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公交集团数据湖标准数据接口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18-35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15-20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需确认数据范围、接口协议、鉴权加密、传输频率、推拉模式和验收样例。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外部系统对接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二维码系统数据接口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外部对接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统一标准数据接口、二维码相关历史/统计数据供给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二维码系统数据接口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12-28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 / 12-18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需以接口文档、联调环境、样例数据和验收规则为准。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外部系统对接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银行清分清点系统线下对接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外部对接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线下报表传递、手动导入、清分日报入库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银行清分清点系统线下对接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15-32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12-18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需确认字段口径、文件/接口格式、重试补偿、对账机制和失败处理。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外部系统对接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票款清分/胆款系统同步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外部对接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票务系统导入数据后同步胆款系统，涉及票款清分日报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票款清分/胆款系统同步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15-32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15-18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需确认字段口径、文件/接口格式、重试补偿、对账机制和失败处理。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外部系统对接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IC卡/一卡通系统数据对接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外部对接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线路、车辆、司售、IC卡类型、充值相关数据同步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IC卡/一卡通系统数据对接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18-36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15-20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需确认主数据归属、同步频率、增量机制、异常补偿和历史数据映射。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外部系统对接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电子签章系统预留/对接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外部对接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特殊业务在线签字确认、签章状态、签章文件归档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电子签章系统预留/对接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8-20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2.6-8.0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一期建议预留签章对象、签章状态和附件归档；正式联调视接口材料另估。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待定事项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安全性与合规要求确认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待定补充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安全策略、审计要求、加密要求、等保/密评/信创测评配合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安全性与合规要求确认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6-24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1.9-9.6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当前需求材料不足，需业务或集团侧补充确认后才能冻结范围。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待定事项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调账管理业务场景确认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待定补充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调账申请、审核、库存/金额调整、差异流水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调账管理业务场景确认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8-24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调账业务会影响库存、金额、报表和审计追溯，需高于普通待定事项估算。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待定事项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特殊票管理业务场景确认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待定补充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特殊票新增、修改、删除、领取、核销或结算关系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特殊票管理业务场景确认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6-24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1.9-9.6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当前需求材料不足，需业务或集团侧补充确认后才能冻结范围。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待定事项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无人售票自动对账与数据清洗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待定补充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无人售票清分数据自动对账、异常识别、数据清洗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无人售票自动对账与数据清洗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12-24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12-18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自动对账规则未冻结，需按银行清分护栏预留分析、校验和复核工时。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专项工作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数据迁移与上线割接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专项工作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Oracle 到达梦迁移、三轮迁移演练、增量割接、抽样核验、回滚预案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数据迁移与上线割接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50-80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30-55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三轮迁移演练、数据治理、增量割接和回滚验证不可省略。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专项工作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培训与运维交接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专项工作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管理员培训、业务培训、报表核对培训、运维培训、用户手册和培训课件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培训与运维交接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15-25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10-18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培训材料、分角色培训和上线后复盘需单列交付。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100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平台底座专项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消息中心与审批待办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阈值预警、申请/审核消息、未读已读、弹窗提醒、待办跳转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消息中心与审批待办 的配置管理、权限控制、审计记录、查询筛选和维护页面。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2.6-5.6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消息中心、待办提醒和阈值预警属于跨模块底座能力。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101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平台底座专项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打印模板与浏览器打印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配票单、结算单、打印模板、纸张规格、浏览器打印兼容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打印模板与浏览器打印 的配置管理、权限控制、审计记录、查询筛选和维护页面。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2.6-5.6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打印菜单删除不代表打印能力删除，需统一模板和兼容性验证。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102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平台底座专项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Excel异步导出中心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大数据量导出、异步任务、下载中心、导出权限、水印/字段控制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Excel异步导出中心 的配置管理、权限控制、审计记录、查询筛选和维护页面。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2.6-5.6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大数据量导出需异步任务、权限控制和下载中心。</w:t>
            </w:r>
          </w:p>
        </w:tc>
      </w:tr>
    </w:tbl>
    <w:p/>
    <w:p>
      <w:pPr>
        <w:sectPr>
          <w:pgSz w:w="15840" w:h="12240" w:orient="landscape"/>
          <w:pgMar w:top="864" w:right="792" w:bottom="864" w:left="792" w:header="504" w:footer="504" w:gutter="0"/>
          <w:cols w:space="720"/>
          <w:docGrid w:linePitch="360"/>
        </w:sectPr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八、风险与边界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风险点</w:t>
            </w:r>
          </w:p>
        </w:tc>
        <w:tc>
          <w:tcPr>
            <w:tcW w:type="dxa" w:w="35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表现</w:t>
            </w:r>
          </w:p>
        </w:tc>
        <w:tc>
          <w:tcPr>
            <w:tcW w:type="dxa" w:w="38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建议处理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需求边界不清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文档中存在“待明确”“删除”“整合”项，容易反复变更。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在开发前形成冻结版功能清单，变更走审批和工期调整。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接口资料缺失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数据湖、二维码、胆款、电子签章等接口材料未完全明确。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一期只做接口框架和已确认接口，未确认部分单独列二期。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报表口径争议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同一报表集团/分公司/票务室口径不同，数字验收困难。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先用旧系统样例数据签字确认，再开发。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历史数据异常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旧系统长期运行导致脏数据和状态不一致。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迁移前做数据体检，异常数据由业务确认处理规则。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国产化兼容风险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达梦 SQL、数据库驱动、国产操作系统、中间件和浏览器兼容问题可能后置暴露。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开发早期即接入达梦和目标浏览器，迁移函数、序列、视图和报表 SQL 前置验证。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网络连通延期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云平台、数据中心、线网中心、外部接口白名单和端口开通不及时。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把网络连通、端口、白名单和 NAT 映射列为上线前置条件。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安全合规后补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等保、密评、信创测评要求若后置补充，会影响架构、日志、加密和部署。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安全等级和测评范围在第 4 周前冻结，正式测评配合单列报价。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打印与浏览器兼容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配票单、结算单在目标浏览器、打印机、纸张和页边距下可能存在偏差。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上线前用甲方实际浏览器和打印机做专项验证。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旧系统并行窗口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上线割接后旧系统是否只读、并行多久、如何回滚未明确。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制定割接窗口、只读策略、增量迁移、回滚分支和抽样验收流程。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AI 生成代码质量波动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常规代码效率高，但核心业务可能遗漏隐性规则。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核心交易类代码必须人工 review，并要求测试覆盖状态流转和金额计算。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九、结论</w:t>
      </w:r>
    </w:p>
    <w:p>
      <w:pPr>
        <w:spacing w:after="120" w:line="269" w:lineRule="auto"/>
      </w:pPr>
      <w:r>
        <w:rPr>
          <w:rFonts w:ascii="Calibri" w:hAnsi="Calibri" w:eastAsia="Microsoft YaHei"/>
          <w:b w:val="0"/>
          <w:sz w:val="21"/>
        </w:rPr>
        <w:t>本项目按当前修订口径共 102 个工作条目，已将原需求明确删除/整合的功能按 0-1 人日处理，并合并集团/分公司同名报表。传统完整实施工作量约 713-1536 人日，Vibe Coding 协同后约 389-772 人日；核心业务、外部接口、报表口径、数据迁移和上线割接设置最低保护工时，不随 60% 提效目标等比例压缩。</w:t>
      </w:r>
    </w:p>
    <w:p>
      <w:pPr>
        <w:spacing w:after="120" w:line="269" w:lineRule="auto"/>
      </w:pPr>
      <w:r>
        <w:rPr>
          <w:rFonts w:ascii="Calibri" w:hAnsi="Calibri" w:eastAsia="Microsoft YaHei"/>
          <w:b w:val="0"/>
          <w:sz w:val="21"/>
        </w:rPr>
        <w:t>周期建议采用双口径：激进计划为 8-10 人、4-5 个月，前提是需求冻结、接口资料、历史样例数据、达梦许可和联调环境在约定节点全部到位；稳妥计划为 8-10 人、5-6 个月，适用于接口材料补充、报表口径多轮确认或迁移数据质量治理场景。任一关键前置条件未达成，应自动切换至稳妥计划或单列变更。上述协同后人日不含部署与运维建设的 140-235 人日；后者已包含在基础报价中，仅当甲方追加等保/密评/信创测评、双活容灾或第三方运维平台对接时另行增加专项报价。</w:t>
      </w:r>
    </w:p>
    <w:p>
      <w:pPr>
        <w:spacing w:after="120" w:line="269" w:lineRule="auto"/>
      </w:pPr>
      <w:r>
        <w:rPr>
          <w:rFonts w:ascii="Calibri" w:hAnsi="Calibri" w:eastAsia="Microsoft YaHei"/>
          <w:b w:val="0"/>
          <w:sz w:val="21"/>
        </w:rPr>
        <w:t>报价建议维持 450-650 万区间，稳妥报价点 520-580 万。该报价不含达梦数据库授权、国产服务器与操作系统、国产中间件、第三方电子签章、CA/硬件介质、等保/密评/信创测评、第三方运维平台和双活容灾等单列项目。效率提升主要压缩周期和重复劳动，不等于按同等比例降低项目责任、质保、联调和验收成本。</w:t>
      </w:r>
    </w:p>
    <w:sectPr w:rsidR="00FC693F" w:rsidRPr="0006063C" w:rsidSect="00034616">
      <w:pgSz w:w="15840" w:h="12240" w:orient="landscape"/>
      <w:pgMar w:top="864" w:right="792" w:bottom="864" w:left="79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06C7A"/>
        <w:sz w:val="17"/>
      </w:rPr>
      <w:t>内部评估文件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color w:val="606C7A"/>
        <w:sz w:val="17"/>
      </w:rPr>
      <w:t>北京公交集团票务综合管理平台系统升级 | Vibe Coding 实施与工作量评估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