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BF" w:rsidRDefault="0038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Wstęp teoretyczny</w:t>
      </w:r>
    </w:p>
    <w:p w:rsidR="00765741" w:rsidRDefault="00765741" w:rsidP="0089068C">
      <w:r>
        <w:t>Falą elektromagnetyczną nazywamy zaburzenie pola elektromagnetycznego rozchodzące się w przestrzeni. Zmienne pole elektryczne wytwarza pole magnetyczne. Z kolei zmienne pole magnetyczne wytwarza pole elektryczne. Oznacza to, że fala elektromagnetyczna to inaczej sprzężone ze sobą pola elektryczne i magnetyczne. Fala elektromagnetyczna jest przykładem fali poprzecznej.</w:t>
      </w:r>
    </w:p>
    <w:p w:rsidR="00765741" w:rsidRDefault="00765741" w:rsidP="0089068C">
      <w:r>
        <w:t>Fala poprzeczna to fala, w której kierunek drgań cząstek jest prostopadły to kierunku rozchodzenia się tej fali.</w:t>
      </w:r>
    </w:p>
    <w:p w:rsidR="00312226" w:rsidRDefault="00765741" w:rsidP="0089068C">
      <w:r>
        <w:t xml:space="preserve">Polaryzacja jest zjawiskiem możliwym tylko dla fali poprzecznej. </w:t>
      </w:r>
      <w:r w:rsidR="00312226">
        <w:t>W przypadku fali niespolaryzowanej cząstki drgają we wszystkich możliwych kierunkach prostopadłych do kierunku rozchodzenia się fali.</w:t>
      </w:r>
      <w:r w:rsidR="00312226">
        <w:br/>
        <w:t>Polaryzacja jest procesem, w wyniku którego osiągamy tylko jeden kierunek drgań. Możliwe jest to dla światła na przykład przy pomocy tak zwanego polaryzatora, czyli materiału pochłaniającego światło w kierunku ułożenia cząsteczek tego materiału.</w:t>
      </w:r>
    </w:p>
    <w:p w:rsidR="00A96DE6" w:rsidRDefault="00312226" w:rsidP="00A96DE6">
      <w:r>
        <w:t>Prawo Malusa mówi, że natężenie światła spolaryzowanego jest równe natężeniu światła padającego na polaryzator</w:t>
      </w:r>
      <w:r w:rsidR="00A96DE6">
        <w:t xml:space="preserve"> pomnożonemu przez cosinus kąta padania tego światła do kwadratu. Prawo to działa tylko kiedy światło padające jest spolaryzowane.</w:t>
      </w:r>
      <w:r w:rsidR="00A96DE6">
        <w:br/>
        <w:t>Wzór:</w:t>
      </w:r>
    </w:p>
    <w:p w:rsidR="00A96DE6" w:rsidRPr="003D26B9" w:rsidRDefault="00A96DE6" w:rsidP="00A96DE6">
      <w:pPr>
        <w:rPr>
          <w:i/>
          <w:sz w:val="20"/>
          <w:szCs w:val="20"/>
        </w:rPr>
      </w:pPr>
      <w:r>
        <w:tab/>
        <w:t xml:space="preserve">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cstheme="minorHAnsi"/>
            <w:lang w:val="el-GR"/>
          </w:rPr>
          <m:t>φ</m:t>
        </m:r>
      </m:oMath>
      <w:r>
        <w:rPr>
          <w:rFonts w:eastAsiaTheme="minorEastAsia"/>
        </w:rPr>
        <w:t xml:space="preserve">, </w:t>
      </w:r>
      <w:r w:rsidR="003D26B9">
        <w:rPr>
          <w:rFonts w:eastAsiaTheme="minorEastAsia"/>
        </w:rPr>
        <w:br/>
      </w:r>
      <w:r>
        <w:rPr>
          <w:rFonts w:eastAsiaTheme="minorEastAsia"/>
        </w:rPr>
        <w:t>gdzie:</w:t>
      </w:r>
      <w:r>
        <w:rPr>
          <w:rFonts w:eastAsiaTheme="minorEastAsia"/>
        </w:rPr>
        <w:br/>
      </w:r>
      <w:r>
        <w:t xml:space="preserve"> </w:t>
      </w:r>
      <w:r>
        <w:tab/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-</w:t>
      </w:r>
      <w:r>
        <w:t xml:space="preserve"> natężenie światła spolaryzowanego</w:t>
      </w:r>
      <w:r w:rsidR="00CE1F8B">
        <w:br/>
      </w: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- natężenie światła padającego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 w:cstheme="minorHAnsi"/>
            <w:lang w:val="el-GR"/>
          </w:rPr>
          <m:t>φ</m:t>
        </m:r>
      </m:oMath>
      <w:r w:rsidR="00545FE7">
        <w:rPr>
          <w:rFonts w:eastAsiaTheme="minorEastAsia"/>
        </w:rPr>
        <w:t xml:space="preserve"> </w:t>
      </w:r>
      <w:r>
        <w:rPr>
          <w:rFonts w:eastAsiaTheme="minorEastAsia"/>
        </w:rPr>
        <w:t>- kąt między płaszczyzną polaryzacji światła a płaszczyzną polaryzacji polaryzatora</w:t>
      </w:r>
      <w:r w:rsidR="003D26B9">
        <w:rPr>
          <w:rFonts w:eastAsiaTheme="minorEastAsia"/>
        </w:rPr>
        <w:br/>
      </w:r>
      <w:r w:rsidR="003D26B9">
        <w:rPr>
          <w:rFonts w:eastAsiaTheme="minorEastAsia"/>
        </w:rPr>
        <w:br/>
      </w:r>
      <w:r w:rsidR="003D26B9">
        <w:rPr>
          <w:i/>
          <w:sz w:val="20"/>
          <w:szCs w:val="20"/>
        </w:rPr>
        <w:t xml:space="preserve">Źródło: </w:t>
      </w:r>
      <w:r w:rsidR="003D26B9" w:rsidRPr="003D26B9">
        <w:rPr>
          <w:i/>
          <w:sz w:val="20"/>
          <w:szCs w:val="20"/>
        </w:rPr>
        <w:t>https://pl.wikipedia.org/wiki/Prawo_Malusa</w:t>
      </w:r>
    </w:p>
    <w:p w:rsidR="0089068C" w:rsidRPr="00A96DE6" w:rsidRDefault="0089068C" w:rsidP="00A96DE6">
      <w:r>
        <w:rPr>
          <w:b/>
          <w:sz w:val="32"/>
          <w:szCs w:val="32"/>
        </w:rPr>
        <w:t>Opis metody pomiarowej</w:t>
      </w:r>
    </w:p>
    <w:p w:rsidR="00BD48A0" w:rsidRDefault="009F2D59" w:rsidP="00BD48A0">
      <w:pPr>
        <w:rPr>
          <w:rFonts w:cstheme="minorHAnsi"/>
        </w:rPr>
      </w:pPr>
      <w:r>
        <w:t xml:space="preserve">Celem doświadczenia jest </w:t>
      </w:r>
      <w:r w:rsidR="00A96DE6">
        <w:t>sprawdzenie prawdziwości prawa Malusa.</w:t>
      </w:r>
      <w:r w:rsidR="00BD48A0">
        <w:br/>
      </w:r>
      <w:r w:rsidR="00BD48A0">
        <w:br/>
      </w:r>
      <w:r w:rsidR="00BD48A0">
        <w:br/>
      </w:r>
      <w:r w:rsidR="00BD48A0">
        <w:rPr>
          <w:rFonts w:cstheme="minorHAnsi"/>
        </w:rPr>
        <w:t>Schemat układu:</w:t>
      </w:r>
    </w:p>
    <w:p w:rsidR="00BD48A0" w:rsidRPr="00290616" w:rsidRDefault="00BD48A0" w:rsidP="00BD48A0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>
            <wp:extent cx="2704465" cy="1397635"/>
            <wp:effectExtent l="19050" t="0" r="63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0"/>
          <w:szCs w:val="20"/>
        </w:rPr>
        <w:t>Źródło:</w:t>
      </w:r>
      <w:r w:rsidRPr="00BD48A0">
        <w:rPr>
          <w:rFonts w:cstheme="minorHAnsi"/>
        </w:rPr>
        <w:t xml:space="preserve"> </w:t>
      </w:r>
      <w:r>
        <w:rPr>
          <w:rFonts w:cstheme="minorHAnsi"/>
        </w:rPr>
        <w:t xml:space="preserve">Instrukcja dostępna w pracowni fizycznej   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Politechniki Śląskiej</w:t>
      </w:r>
    </w:p>
    <w:p w:rsidR="009F2113" w:rsidRDefault="00BD48A0" w:rsidP="0089068C">
      <w:r>
        <w:lastRenderedPageBreak/>
        <w:br/>
      </w:r>
      <w:r w:rsidR="009F2D59">
        <w:t xml:space="preserve">Pomiary wykonywane były dla </w:t>
      </w:r>
      <w:r w:rsidR="003D26B9">
        <w:t>kąta między płaszczyznami od 0</w:t>
      </w:r>
      <w:r w:rsidR="003D26B9">
        <w:rPr>
          <w:rFonts w:cstheme="minorHAnsi"/>
        </w:rPr>
        <w:t>° do 360°, zwiększającego się co 5°.</w:t>
      </w:r>
      <w:r w:rsidR="003D26B9">
        <w:rPr>
          <w:rFonts w:cstheme="minorHAnsi"/>
        </w:rPr>
        <w:br/>
        <w:t>Dla każdego kąta</w:t>
      </w:r>
      <w:r w:rsidR="009F2113">
        <w:rPr>
          <w:rFonts w:cstheme="minorHAnsi"/>
        </w:rPr>
        <w:t>, odczytanego ze skali (5)</w:t>
      </w:r>
      <w:r w:rsidR="003D26B9">
        <w:rPr>
          <w:rFonts w:cstheme="minorHAnsi"/>
        </w:rPr>
        <w:t xml:space="preserve"> zapisane zostało natężenie prądu wywołane natężeniem światła padającego na fotorezystor</w:t>
      </w:r>
      <w:r w:rsidR="009F2113">
        <w:rPr>
          <w:rFonts w:cstheme="minorHAnsi"/>
        </w:rPr>
        <w:t xml:space="preserve"> </w:t>
      </w:r>
      <w:r w:rsidR="009F2113" w:rsidRPr="009F2113">
        <w:rPr>
          <w:rFonts w:cstheme="minorHAnsi"/>
        </w:rPr>
        <w:t>(1)</w:t>
      </w:r>
      <w:r w:rsidR="003D26B9">
        <w:rPr>
          <w:rFonts w:cstheme="minorHAnsi"/>
        </w:rPr>
        <w:t xml:space="preserve"> zmieniający swój opór pod wpływem tego świat</w:t>
      </w:r>
      <w:r w:rsidR="009F2113">
        <w:rPr>
          <w:rFonts w:cstheme="minorHAnsi"/>
        </w:rPr>
        <w:t>ła.</w:t>
      </w:r>
      <w:r>
        <w:t xml:space="preserve"> </w:t>
      </w:r>
      <w:r w:rsidR="009F2113">
        <w:t>Światło wychodzące z żarówki (6) zostaje spolaryzowane za pomocą filtra polaryzującego (4). Następnie przechodzi przez soczewkę skupiającą (3) i pada na analizator</w:t>
      </w:r>
      <w:r w:rsidR="00290616">
        <w:t xml:space="preserve"> (2)</w:t>
      </w:r>
      <w:r w:rsidR="009F2113">
        <w:t>, czyli drugi filtr polaryzacyjny.</w:t>
      </w:r>
    </w:p>
    <w:p w:rsidR="009F2113" w:rsidRDefault="009F2113" w:rsidP="0089068C"/>
    <w:p w:rsidR="00CE1F8B" w:rsidRDefault="00CE1F8B" w:rsidP="0089068C">
      <w:r>
        <w:t>Wyniki pomiarów:</w:t>
      </w:r>
    </w:p>
    <w:p w:rsidR="00545FE7" w:rsidRDefault="00545FE7" w:rsidP="00545FE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  <w:sectPr w:rsidR="00545FE7" w:rsidSect="009627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192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</w:tblGrid>
      <w:tr w:rsidR="00545FE7" w:rsidRPr="00545FE7" w:rsidTr="00545FE7">
        <w:trPr>
          <w:trHeight w:val="300"/>
        </w:trPr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lastRenderedPageBreak/>
              <w:t>φ, ◦</w:t>
            </w:r>
          </w:p>
        </w:tc>
        <w:tc>
          <w:tcPr>
            <w:tcW w:w="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i, mA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1,1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2,5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8,6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8,5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7,1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3,6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2,6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3,5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245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7,1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8,5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9,2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8,8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8,3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7,7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5,2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4,2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3,4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2,6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1,9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1,2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</w:tr>
      <w:tr w:rsidR="00545FE7" w:rsidRPr="00545FE7" w:rsidTr="00545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FE7" w:rsidRPr="00545FE7" w:rsidRDefault="00545FE7" w:rsidP="00545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5FE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:rsidR="00545FE7" w:rsidRDefault="00545FE7" w:rsidP="0089068C">
      <w:pPr>
        <w:sectPr w:rsidR="00545FE7" w:rsidSect="00545FE7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CE1F8B" w:rsidRDefault="00CE1F8B" w:rsidP="0089068C"/>
    <w:p w:rsidR="00CE1F8B" w:rsidRDefault="00CE1F8B" w:rsidP="0089068C"/>
    <w:p w:rsidR="00CE1F8B" w:rsidRDefault="00CE1F8B" w:rsidP="0089068C"/>
    <w:p w:rsidR="00B471C0" w:rsidRDefault="00B471C0" w:rsidP="0089068C">
      <w:pPr>
        <w:rPr>
          <w:rFonts w:cstheme="minorHAnsi"/>
          <w:b/>
          <w:sz w:val="32"/>
          <w:szCs w:val="32"/>
        </w:rPr>
      </w:pPr>
    </w:p>
    <w:p w:rsidR="00B471C0" w:rsidRDefault="00B471C0" w:rsidP="0089068C">
      <w:pPr>
        <w:rPr>
          <w:rFonts w:cstheme="minorHAnsi"/>
          <w:b/>
          <w:sz w:val="32"/>
          <w:szCs w:val="32"/>
        </w:rPr>
      </w:pPr>
    </w:p>
    <w:p w:rsidR="00B471C0" w:rsidRDefault="00B471C0" w:rsidP="0089068C">
      <w:pPr>
        <w:rPr>
          <w:rFonts w:cstheme="minorHAnsi"/>
          <w:b/>
          <w:sz w:val="32"/>
          <w:szCs w:val="32"/>
        </w:rPr>
      </w:pPr>
    </w:p>
    <w:p w:rsidR="00CE1F8B" w:rsidRPr="00290616" w:rsidRDefault="00CE1F8B" w:rsidP="0089068C">
      <w:pPr>
        <w:rPr>
          <w:rFonts w:cstheme="minorHAnsi"/>
          <w:b/>
          <w:sz w:val="32"/>
          <w:szCs w:val="32"/>
        </w:rPr>
      </w:pPr>
      <w:r w:rsidRPr="00290616">
        <w:rPr>
          <w:rFonts w:cstheme="minorHAnsi"/>
          <w:b/>
          <w:sz w:val="32"/>
          <w:szCs w:val="32"/>
        </w:rPr>
        <w:t>Obliczenia:</w:t>
      </w:r>
    </w:p>
    <w:p w:rsidR="00CD4544" w:rsidRPr="00290616" w:rsidRDefault="00290616" w:rsidP="006B1EB5">
      <w:pPr>
        <w:rPr>
          <w:rFonts w:cstheme="minorHAnsi"/>
        </w:rPr>
      </w:pPr>
      <w:r w:rsidRPr="00290616">
        <w:rPr>
          <w:rFonts w:eastAsiaTheme="minorEastAsia" w:cstheme="minorHAnsi"/>
        </w:rPr>
        <w:t>Teoretyczne wartości prądu płynącego przez fotoopornik:</w:t>
      </w:r>
      <w:r w:rsidRPr="00290616">
        <w:rPr>
          <w:rFonts w:eastAsiaTheme="minorEastAsia" w:cstheme="minorHAnsi"/>
        </w:rPr>
        <w:br/>
      </w:r>
      <w:r w:rsidRPr="00290616"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r>
          <w:rPr>
            <w:rFonts w:asci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cstheme="minorHAnsi"/>
          </w:rPr>
          <m:t>×</m:t>
        </m:r>
        <m:r>
          <m:rPr>
            <m:sty m:val="p"/>
          </m:rPr>
          <w:rPr>
            <w:rFonts w:hAnsi="Cambria Math" w:cstheme="minorHAnsi"/>
          </w:rPr>
          <m:t>⁡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cos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  <w:lang w:val="el-GR"/>
          </w:rPr>
          <m:t>φ</m:t>
        </m:r>
      </m:oMath>
      <w:r w:rsidRPr="00290616">
        <w:rPr>
          <w:rFonts w:eastAsiaTheme="minorEastAsia" w:cstheme="minorHAnsi"/>
        </w:rPr>
        <w:t xml:space="preserve">, </w:t>
      </w:r>
    </w:p>
    <w:p w:rsidR="00CD4544" w:rsidRPr="00290616" w:rsidRDefault="00290616" w:rsidP="006B1EB5">
      <w:pPr>
        <w:rPr>
          <w:rFonts w:cstheme="minorHAnsi"/>
        </w:rPr>
      </w:pPr>
      <w:r w:rsidRPr="00290616">
        <w:rPr>
          <w:rFonts w:cstheme="minorHAnsi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Pr="00290616">
        <w:rPr>
          <w:rFonts w:eastAsiaTheme="minorEastAsia" w:cstheme="minorHAnsi"/>
        </w:rPr>
        <w:t xml:space="preserve"> jest maksymalnym wskazaniem amperomierza.</w:t>
      </w:r>
      <w:r w:rsidR="00484083">
        <w:rPr>
          <w:rFonts w:eastAsiaTheme="minorEastAsia" w:cstheme="minorHAnsi"/>
        </w:rPr>
        <w:t xml:space="preserve"> W tym przypadku 9.4 A.</w:t>
      </w:r>
      <w:r w:rsidRPr="00290616">
        <w:rPr>
          <w:rFonts w:eastAsiaTheme="minorEastAsia" w:cstheme="minorHAnsi"/>
        </w:rPr>
        <w:br/>
      </w:r>
    </w:p>
    <w:p w:rsidR="00CD4544" w:rsidRPr="00290616" w:rsidRDefault="00290616" w:rsidP="006B1EB5">
      <w:pPr>
        <w:rPr>
          <w:rFonts w:cstheme="minorHAnsi"/>
        </w:rPr>
      </w:pPr>
      <w:r w:rsidRPr="00290616">
        <w:rPr>
          <w:rFonts w:cstheme="minorHAnsi"/>
        </w:rPr>
        <w:t>Obliczenie błędu zera:</w:t>
      </w:r>
      <w:r w:rsidRPr="00290616">
        <w:rPr>
          <w:rFonts w:cstheme="minorHAnsi"/>
        </w:rPr>
        <w:br/>
      </w:r>
      <w:r w:rsidRPr="00290616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α</m:t>
        </m:r>
        <m:r>
          <w:rPr>
            <w:rFonts w:ascii="Cambria Math" w:cstheme="minorHAnsi"/>
          </w:rPr>
          <m:t>+</m:t>
        </m:r>
        <m:r>
          <w:rPr>
            <w:rFonts w:ascii="Cambria Math" w:hAnsi="Cambria Math" w:cstheme="minorHAnsi"/>
            <w:lang w:val="el-GR"/>
          </w:rPr>
          <m:t>φ</m:t>
        </m:r>
        <m:r>
          <m:rPr>
            <m:sty m:val="p"/>
          </m:rPr>
          <w:rPr>
            <w:rFonts w:asci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  <w:lang w:val="el-GR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cstheme="minorHAnsi"/>
              </w:rPr>
              <m:t>T</m:t>
            </m:r>
          </m:sub>
        </m:sSub>
      </m:oMath>
    </w:p>
    <w:p w:rsidR="00CD4544" w:rsidRPr="00300BD5" w:rsidRDefault="00290616" w:rsidP="006B1EB5">
      <w:pPr>
        <w:rPr>
          <w:rFonts w:cstheme="minorHAnsi"/>
          <w:b/>
          <w:sz w:val="32"/>
          <w:szCs w:val="32"/>
        </w:rPr>
      </w:pPr>
      <w:r w:rsidRPr="00290616">
        <w:rPr>
          <w:rFonts w:cstheme="minorHAnsi"/>
          <w:b/>
          <w:sz w:val="32"/>
          <w:szCs w:val="32"/>
        </w:rPr>
        <w:t>Wnioski:</w:t>
      </w:r>
      <w:r w:rsidR="00300BD5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br/>
      </w:r>
      <w:r w:rsidR="00300BD5">
        <w:rPr>
          <w:rFonts w:cstheme="minorHAnsi"/>
        </w:rPr>
        <w:br/>
      </w:r>
      <w:r w:rsidR="00A73942">
        <w:rPr>
          <w:rFonts w:cstheme="minorHAnsi"/>
        </w:rPr>
        <w:t xml:space="preserve">Jak wynika z wykresów, wyniki pomiarów są wystarczająco podobne do </w:t>
      </w:r>
      <w:r w:rsidR="00300BD5">
        <w:rPr>
          <w:rFonts w:cstheme="minorHAnsi"/>
        </w:rPr>
        <w:t>wykresów wartości teoretycznych. Można więc uznać, że potwierdziliśmy prawdziwość prawa Malusa.</w:t>
      </w:r>
    </w:p>
    <w:p w:rsidR="00CD4544" w:rsidRDefault="00BD48A0" w:rsidP="006B1EB5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="00CD4544" w:rsidRPr="00290616">
        <w:rPr>
          <w:rFonts w:cstheme="minorHAnsi"/>
        </w:rPr>
        <w:t>Źródła:</w:t>
      </w:r>
      <w:r w:rsidR="00CD4544" w:rsidRPr="00290616">
        <w:rPr>
          <w:rFonts w:cstheme="minorHAnsi"/>
        </w:rPr>
        <w:br/>
        <w:t>-</w:t>
      </w:r>
      <w:r w:rsidR="009F2113" w:rsidRPr="00290616">
        <w:rPr>
          <w:rFonts w:cstheme="minorHAnsi"/>
        </w:rPr>
        <w:t xml:space="preserve"> </w:t>
      </w:r>
      <w:r w:rsidRPr="00BD48A0">
        <w:rPr>
          <w:rFonts w:cstheme="minorHAnsi"/>
        </w:rPr>
        <w:t>https://pl.wikipedia.org/wiki/Prawo_Malusa</w:t>
      </w:r>
      <w:r w:rsidR="00CD4544" w:rsidRPr="00290616">
        <w:rPr>
          <w:rFonts w:cstheme="minorHAnsi"/>
        </w:rPr>
        <w:br/>
      </w:r>
      <w:r w:rsidR="00CD4544" w:rsidRPr="00290616">
        <w:rPr>
          <w:rFonts w:cstheme="minorHAnsi"/>
        </w:rPr>
        <w:br/>
        <w:t>-</w:t>
      </w:r>
      <w:r w:rsidR="009F2113" w:rsidRPr="00290616">
        <w:rPr>
          <w:rFonts w:cstheme="minorHAnsi"/>
        </w:rPr>
        <w:t xml:space="preserve"> </w:t>
      </w:r>
      <w:r w:rsidRPr="00BD48A0">
        <w:rPr>
          <w:rFonts w:cstheme="minorHAnsi"/>
        </w:rPr>
        <w:t>https://pl.wikipedia.org/wiki/Polaryzacja_fali</w:t>
      </w:r>
      <w:r w:rsidR="00CD4544" w:rsidRPr="00290616">
        <w:rPr>
          <w:rFonts w:cstheme="minorHAnsi"/>
        </w:rPr>
        <w:br/>
      </w:r>
      <w:r w:rsidR="00CD4544" w:rsidRPr="00290616">
        <w:rPr>
          <w:rFonts w:cstheme="minorHAnsi"/>
        </w:rPr>
        <w:br/>
        <w:t>-</w:t>
      </w:r>
      <w:r w:rsidRPr="00BD48A0">
        <w:rPr>
          <w:rFonts w:cstheme="minorHAnsi"/>
        </w:rPr>
        <w:t>https://www.ekologia.pl/wiedza/slowniki/leksykon-ekologii-i-ochrony-srodowiska/fale-elektromagnetyczne</w:t>
      </w:r>
    </w:p>
    <w:p w:rsidR="00BD48A0" w:rsidRPr="00290616" w:rsidRDefault="00BD48A0" w:rsidP="006B1EB5">
      <w:pPr>
        <w:rPr>
          <w:rFonts w:cstheme="minorHAnsi"/>
        </w:rPr>
      </w:pPr>
      <w:r>
        <w:rPr>
          <w:rFonts w:cstheme="minorHAnsi"/>
        </w:rPr>
        <w:t>- Instrukcja dostępna w pracowni fizycznej Politechniki Śląskiej</w:t>
      </w:r>
    </w:p>
    <w:sectPr w:rsidR="00BD48A0" w:rsidRPr="00290616" w:rsidSect="00545FE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20" w:rsidRDefault="007D4820" w:rsidP="0089068C">
      <w:pPr>
        <w:spacing w:after="0" w:line="240" w:lineRule="auto"/>
      </w:pPr>
      <w:r>
        <w:separator/>
      </w:r>
    </w:p>
  </w:endnote>
  <w:endnote w:type="continuationSeparator" w:id="1">
    <w:p w:rsidR="007D4820" w:rsidRDefault="007D4820" w:rsidP="0089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20" w:rsidRDefault="007D4820" w:rsidP="0089068C">
      <w:pPr>
        <w:spacing w:after="0" w:line="240" w:lineRule="auto"/>
      </w:pPr>
      <w:r>
        <w:separator/>
      </w:r>
    </w:p>
  </w:footnote>
  <w:footnote w:type="continuationSeparator" w:id="1">
    <w:p w:rsidR="007D4820" w:rsidRDefault="007D4820" w:rsidP="008906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814"/>
    <w:rsid w:val="0005044A"/>
    <w:rsid w:val="000F1BA1"/>
    <w:rsid w:val="00290616"/>
    <w:rsid w:val="00300BD5"/>
    <w:rsid w:val="00312226"/>
    <w:rsid w:val="00380814"/>
    <w:rsid w:val="003D26B9"/>
    <w:rsid w:val="00484083"/>
    <w:rsid w:val="00545FE7"/>
    <w:rsid w:val="005D300B"/>
    <w:rsid w:val="005F2E3E"/>
    <w:rsid w:val="006B1EB5"/>
    <w:rsid w:val="00765741"/>
    <w:rsid w:val="007D4820"/>
    <w:rsid w:val="0089068C"/>
    <w:rsid w:val="008C6D5E"/>
    <w:rsid w:val="009627BF"/>
    <w:rsid w:val="00984844"/>
    <w:rsid w:val="009D2B57"/>
    <w:rsid w:val="009F2113"/>
    <w:rsid w:val="009F2D59"/>
    <w:rsid w:val="00A73942"/>
    <w:rsid w:val="00A96DE6"/>
    <w:rsid w:val="00AD68BD"/>
    <w:rsid w:val="00B471C0"/>
    <w:rsid w:val="00BD17A7"/>
    <w:rsid w:val="00BD48A0"/>
    <w:rsid w:val="00C81C8B"/>
    <w:rsid w:val="00CD4544"/>
    <w:rsid w:val="00CE1F8B"/>
    <w:rsid w:val="00E3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06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06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06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068C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CE1F8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1F8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D4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490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HP-01</dc:creator>
  <cp:lastModifiedBy>PC-01</cp:lastModifiedBy>
  <cp:revision>5</cp:revision>
  <dcterms:created xsi:type="dcterms:W3CDTF">2022-03-21T17:38:00Z</dcterms:created>
  <dcterms:modified xsi:type="dcterms:W3CDTF">2022-03-27T08:51:00Z</dcterms:modified>
</cp:coreProperties>
</file>