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4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00"/>
      </w:tblGrid>
      <w:tr>
        <w:tc>
          <w:tcPr>
            <w:tcW w:w="9400" w:type="dxa"/>
            <w:shd w:val="clear" w:color="auto" w:fill="0D2828"/>
            <w:tcMar>
              <w:top w:w="700" w:type="dxa"/>
              <w:left w:w="600" w:type="dxa"/>
              <w:bottom w:w="700" w:type="dxa"/>
              <w:right w:w="600" w:type="dxa"/>
            </w:tcMar>
          </w:tcPr>
          <w:p>
            <w:pPr>
              <w:pStyle w:val="CoverEyebrow"/>
            </w:pPr>
            <w:r>
              <w:rPr>
                <w:b/>
                <w:color w:val="087F7B"/>
                <w:sz w:val="20"/>
              </w:rPr>
              <w:t xml:space="preserve">LABFLOW / SCIENTIFIC PROJECT REPORT</w:t>
            </w:r>
          </w:p>
          <w:p>
            <w:pPr>
              <w:pStyle w:val="CoverTitle"/>
            </w:pPr>
            <w:r>
              <w:rPr>
                <w:b/>
                <w:color w:val="FFFFFF"/>
                <w:sz w:val="48"/>
              </w:rPr>
              <w:t xml:space="preserve">Mixed-Cation Validation Report</w:t>
            </w:r>
          </w:p>
          <w:p>
            <w:pPr>
              <w:pStyle w:val="CoverSubtitle"/>
            </w:pPr>
            <w:r>
              <w:rPr>
                <w:color w:val="D8E2EE"/>
                <w:sz w:val="25"/>
              </w:rPr>
              <w:t xml:space="preserve">Editable local report test</w:t>
            </w:r>
          </w:p>
          <w:p>
            <w:pPr>
              <w:spacing w:after="180"/>
            </w:pPr>
          </w:p>
          <w:p>
            <w:pPr>
              <w:pStyle w:val="CoverMeta"/>
            </w:pPr>
            <w:r>
              <w:rPr>
                <w:b/>
                <w:color w:val="FFFFFF"/>
                <w:sz w:val="19"/>
              </w:rPr>
              <w:t xml:space="preserve">PRJ-2026-014-R01  |  2026-08-03</w:t>
            </w:r>
          </w:p>
          <w:p>
            <w:pPr>
              <w:pStyle w:val="CoverMeta"/>
            </w:pPr>
            <w:r>
              <w:rPr>
                <w:color w:val="D8E2EE"/>
                <w:sz w:val="18"/>
              </w:rPr>
              <w:t xml:space="preserve">Matteo Ginesi  |  CHOSE — Centre for Hybrid and Organic Solar Energy</w:t>
            </w:r>
          </w:p>
          <w:p>
            <w:pPr>
              <w:pStyle w:val="CoverMeta"/>
            </w:pPr>
            <w:r>
              <w:rPr>
                <w:b/>
                <w:color w:val="087F7B"/>
                <w:sz w:val="18"/>
              </w:rPr>
              <w:t xml:space="preserve">Pending researcher signature</w:t>
            </w:r>
          </w:p>
        </w:tc>
      </w:tr>
    </w:tbl>
    <w:p>
      <w:pPr>
        <w:spacing w:after="150"/>
      </w:pPr>
    </w:p>
    <w:p>
      <w:pPr>
        <w:pStyle w:val="SmallText"/>
      </w:pPr>
      <w:r>
        <w:rPr/>
        <w:t xml:space="preserve">Keywords: perovskite, mixed-cation, validation</w:t>
      </w:r>
    </w:p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01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Executive Snapshot | decision-ready project summary</w:t>
            </w:r>
          </w:p>
        </w:tc>
      </w:tr>
    </w:tbl>
    <w:p>
      <w:pPr>
        <w:spacing w:after="80"/>
      </w:pPr>
    </w:p>
    <w:p>
      <w:pPr>
        <w:pStyle w:val="FieldLabel"/>
      </w:pPr>
      <w:r>
        <w:rPr/>
        <w:t xml:space="preserve">Executive summary</w:t>
      </w:r>
    </w:p>
    <w:sdt>
      <w:sdtPr>
        <w:alias w:val="Executive summary"/>
        <w:tag w:val="report.executiveSummary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The leading formulation remains FA0.90MA0.10.</w:t>
          </w:r>
        </w:p>
      </w:sdtContent>
    </w:sdt>
    <w:p>
      <w:pPr>
        <w:pStyle w:val="FieldLabel"/>
      </w:pPr>
      <w:r>
        <w:rPr/>
        <w:t xml:space="preserve">Research objectives</w:t>
      </w:r>
    </w:p>
    <w:sdt>
      <w:sdtPr>
        <w:alias w:val="Research objectives"/>
        <w:tag w:val="report.objectives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Compare MA/FA ratios and identify the most stable high-efficiency device stack.</w:t>
          </w:r>
        </w:p>
      </w:sdtContent>
    </w:sdt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880"/>
        <w:gridCol w:w="1880"/>
        <w:gridCol w:w="1880"/>
        <w:gridCol w:w="1880"/>
        <w:gridCol w:w="1880"/>
      </w:tblGrid>
      <w:tr>
        <w:trPr>
          <w:tblHeader/>
        </w:trPr>
        <w:tc>
          <w:tcPr>
            <w:tcW w:w="188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BEST PCE</w:t>
            </w:r>
          </w:p>
        </w:tc>
        <w:tc>
          <w:tcPr>
            <w:tcW w:w="188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MEAN PCE</w:t>
            </w:r>
          </w:p>
        </w:tc>
        <w:tc>
          <w:tcPr>
            <w:tcW w:w="188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BEST STABILITY</w:t>
            </w:r>
          </w:p>
        </w:tc>
        <w:tc>
          <w:tcPr>
            <w:tcW w:w="188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MEAN VOC</w:t>
            </w:r>
          </w:p>
        </w:tc>
        <w:tc>
          <w:tcPr>
            <w:tcW w:w="188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OPEN ISSUES</w:t>
            </w:r>
          </w:p>
        </w:tc>
      </w:tr>
      <w:tr>
        <w:tc>
          <w:tcPr>
            <w:tcW w:w="188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21.28% / S08</w:t>
            </w:r>
          </w:p>
        </w:tc>
        <w:tc>
          <w:tcPr>
            <w:tcW w:w="188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19.79%</w:t>
            </w:r>
          </w:p>
        </w:tc>
        <w:tc>
          <w:tcPr>
            <w:tcW w:w="188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95%</w:t>
            </w:r>
          </w:p>
        </w:tc>
        <w:tc>
          <w:tcPr>
            <w:tcW w:w="188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1.09 V</w:t>
            </w:r>
          </w:p>
        </w:tc>
        <w:tc>
          <w:tcPr>
            <w:tcW w:w="188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3</w:t>
            </w:r>
          </w:p>
        </w:tc>
      </w:tr>
    </w:tbl>
    <w:p>
      <w:r>
        <w:br w:type="page"/>
      </w:r>
    </w:p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02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Materials, Process and Experiments | traceable preparation</w:t>
            </w:r>
          </w:p>
        </w:tc>
      </w:tr>
    </w:tbl>
    <w:p>
      <w:pPr>
        <w:spacing w:after="80"/>
      </w:pPr>
    </w:p>
    <w:p>
      <w:pPr>
        <w:pStyle w:val="FieldLabel"/>
      </w:pPr>
      <w:r>
        <w:rPr/>
        <w:t xml:space="preserve">Methodology</w:t>
      </w:r>
    </w:p>
    <w:sdt>
      <w:sdtPr>
        <w:alias w:val="Methodology"/>
        <w:tag w:val="report.methodology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Versioned preparation, mapped JV data and deterministic comparison.</w:t>
          </w:r>
        </w:p>
      </w:sdtContent>
    </w:sdt>
    <w:p>
      <w:pPr>
        <w:pStyle w:val="Heading2"/>
      </w:pPr>
      <w:r>
        <w:rPr/>
        <w:t xml:space="preserve">Solution Review / SOL-B04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500"/>
        <w:gridCol w:w="3600"/>
        <w:gridCol w:w="1800"/>
        <w:gridCol w:w="2500"/>
      </w:tblGrid>
      <w:tr>
        <w:trPr>
          <w:tblHeader/>
        </w:trPr>
        <w:tc>
          <w:tcPr>
            <w:tcW w:w="15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w="36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Function</w:t>
            </w:r>
          </w:p>
        </w:tc>
        <w:tc>
          <w:tcPr>
            <w:tcW w:w="18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Quantity</w:t>
            </w:r>
          </w:p>
        </w:tc>
        <w:tc>
          <w:tcPr>
            <w:tcW w:w="25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Composition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DMF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Primary solvent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1.60 mL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80% v/v</w:t>
            </w:r>
          </w:p>
        </w:tc>
      </w:tr>
      <w:tr>
        <w:tc>
          <w:tcPr>
            <w:tcW w:w="1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DMSO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Co-solvent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0.40 mL</w:t>
            </w:r>
          </w:p>
        </w:tc>
        <w:tc>
          <w:tcPr>
            <w:tcW w:w="2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20% v/v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FAI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A-site solute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365.3 mg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90 mol%</w:t>
            </w:r>
          </w:p>
        </w:tc>
      </w:tr>
      <w:tr>
        <w:tc>
          <w:tcPr>
            <w:tcW w:w="1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MAI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A-site solute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39.7 mg</w:t>
            </w:r>
          </w:p>
        </w:tc>
        <w:tc>
          <w:tcPr>
            <w:tcW w:w="2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10 mol%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PbI2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Lead halide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1152.5 mg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1.00 eq</w:t>
            </w:r>
          </w:p>
        </w:tc>
      </w:tr>
    </w:tbl>
    <w:p>
      <w:pPr>
        <w:pStyle w:val="Heading2"/>
      </w:pPr>
      <w:r>
        <w:rPr/>
        <w:t xml:space="preserve">Device Stack / STK-003 v2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0"/>
        <w:gridCol w:w="2500"/>
        <w:gridCol w:w="4200"/>
        <w:gridCol w:w="1800"/>
      </w:tblGrid>
      <w:tr>
        <w:trPr>
          <w:tblHeader/>
        </w:trP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Order</w:t>
            </w:r>
          </w:p>
        </w:tc>
        <w:tc>
          <w:tcPr>
            <w:tcW w:w="25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Material</w:t>
            </w:r>
          </w:p>
        </w:tc>
        <w:tc>
          <w:tcPr>
            <w:tcW w:w="42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Function</w:t>
            </w:r>
          </w:p>
        </w:tc>
        <w:tc>
          <w:tcPr>
            <w:tcW w:w="18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Thickness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05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Au</w:t>
            </w:r>
          </w:p>
        </w:tc>
        <w:tc>
          <w:tcPr>
            <w:tcW w:w="4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Back contact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80 nm</w:t>
            </w:r>
          </w:p>
        </w:tc>
      </w:tr>
      <w:tr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04</w:t>
            </w:r>
          </w:p>
        </w:tc>
        <w:tc>
          <w:tcPr>
            <w:tcW w:w="2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Spiro-OMeTAD</w:t>
            </w:r>
          </w:p>
        </w:tc>
        <w:tc>
          <w:tcPr>
            <w:tcW w:w="4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Hole transport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180 nm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03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FA/MA perovskite</w:t>
            </w:r>
          </w:p>
        </w:tc>
        <w:tc>
          <w:tcPr>
            <w:tcW w:w="4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Photoactive absorber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540 nm</w:t>
            </w:r>
          </w:p>
        </w:tc>
      </w:tr>
      <w:tr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02</w:t>
            </w:r>
          </w:p>
        </w:tc>
        <w:tc>
          <w:tcPr>
            <w:tcW w:w="2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SnO2</w:t>
            </w:r>
          </w:p>
        </w:tc>
        <w:tc>
          <w:tcPr>
            <w:tcW w:w="4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Electron transport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32 nm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01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Glass / FTO</w:t>
            </w:r>
          </w:p>
        </w:tc>
        <w:tc>
          <w:tcPr>
            <w:tcW w:w="4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Substrate + front contact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2.2 mm</w:t>
            </w:r>
          </w:p>
        </w:tc>
      </w:tr>
    </w:tbl>
    <w:p>
      <w:pPr>
        <w:pStyle w:val="Heading2"/>
      </w:pPr>
      <w:r>
        <w:rPr/>
        <w:t xml:space="preserve">Experiment Coverage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300"/>
        <w:gridCol w:w="1600"/>
        <w:gridCol w:w="3000"/>
        <w:gridCol w:w="1700"/>
        <w:gridCol w:w="1800"/>
      </w:tblGrid>
      <w:tr>
        <w:trPr>
          <w:tblHeader/>
        </w:trPr>
        <w:tc>
          <w:tcPr>
            <w:tcW w:w="13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Experiment</w:t>
            </w:r>
          </w:p>
        </w:tc>
        <w:tc>
          <w:tcPr>
            <w:tcW w:w="16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Samples</w:t>
            </w:r>
          </w:p>
        </w:tc>
        <w:tc>
          <w:tcPr>
            <w:tcW w:w="30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Process</w:t>
            </w:r>
          </w:p>
        </w:tc>
        <w:tc>
          <w:tcPr>
            <w:tcW w:w="17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Measurements</w:t>
            </w:r>
          </w:p>
        </w:tc>
        <w:tc>
          <w:tcPr>
            <w:tcW w:w="18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W w:w="13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EXP-041</w:t>
            </w:r>
          </w:p>
        </w:tc>
        <w:tc>
          <w:tcPr>
            <w:tcW w:w="1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S01-S03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100 C / 30 min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Reviewed</w:t>
            </w:r>
          </w:p>
        </w:tc>
      </w:tr>
      <w:tr>
        <w:tc>
          <w:tcPr>
            <w:tcW w:w="13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EXP-052</w:t>
            </w:r>
          </w:p>
        </w:tc>
        <w:tc>
          <w:tcPr>
            <w:tcW w:w="1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S04-S05</w:t>
            </w:r>
          </w:p>
        </w:tc>
        <w:tc>
          <w:tcPr>
            <w:tcW w:w="30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105 C / 25 min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Reviewed</w:t>
            </w:r>
          </w:p>
        </w:tc>
      </w:tr>
      <w:tr>
        <w:tc>
          <w:tcPr>
            <w:tcW w:w="13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EXP-067</w:t>
            </w:r>
          </w:p>
        </w:tc>
        <w:tc>
          <w:tcPr>
            <w:tcW w:w="1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S06-S08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100 / unit missing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Review</w:t>
            </w:r>
          </w:p>
        </w:tc>
      </w:tr>
    </w:tbl>
    <w:p>
      <w:pPr>
        <w:pStyle w:val="Heading2"/>
      </w:pPr>
      <w:r>
        <w:rPr/>
        <w:t xml:space="preserve">Data-quality review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300"/>
        <w:gridCol w:w="3500"/>
        <w:gridCol w:w="4600"/>
      </w:tblGrid>
      <w:tr>
        <w:trPr>
          <w:tblHeader/>
        </w:trPr>
        <w:tc>
          <w:tcPr>
            <w:tcW w:w="13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tcW w:w="35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Issue</w:t>
            </w:r>
          </w:p>
        </w:tc>
        <w:tc>
          <w:tcPr>
            <w:tcW w:w="46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Effect</w:t>
            </w:r>
          </w:p>
        </w:tc>
      </w:tr>
      <w:tr>
        <w:tc>
          <w:tcPr>
            <w:tcW w:w="13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>
            <w:tcW w:w="3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Device count mismatch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Resolve before final interpretation</w:t>
            </w:r>
          </w:p>
        </w:tc>
      </w:tr>
      <w:tr>
        <w:tc>
          <w:tcPr>
            <w:tcW w:w="13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Warning</w:t>
            </w:r>
          </w:p>
        </w:tc>
        <w:tc>
          <w:tcPr>
            <w:tcW w:w="3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Annealing unit missing</w:t>
            </w:r>
          </w:p>
        </w:tc>
        <w:tc>
          <w:tcPr>
            <w:tcW w:w="4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Comparison retained with caveat</w:t>
            </w:r>
          </w:p>
        </w:tc>
      </w:tr>
      <w:tr>
        <w:tc>
          <w:tcPr>
            <w:tcW w:w="13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Warning</w:t>
            </w:r>
          </w:p>
        </w:tc>
        <w:tc>
          <w:tcPr>
            <w:tcW w:w="3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Solution provenance incomplete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Causal inference blocked</w:t>
            </w:r>
          </w:p>
        </w:tc>
      </w:tr>
    </w:tbl>
    <w:p>
      <w:r>
        <w:br w:type="page"/>
      </w:r>
    </w:p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03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Complete Results | source-aligned measurements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 xml:space="preserve">PCE performance overview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100"/>
        <w:gridCol w:w="3100"/>
        <w:gridCol w:w="1700"/>
        <w:gridCol w:w="1800"/>
        <w:gridCol w:w="1700"/>
      </w:tblGrid>
      <w:tr>
        <w:trPr>
          <w:tblHeader/>
        </w:trPr>
        <w:tc>
          <w:tcPr>
            <w:tcW w:w="11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Sample</w:t>
            </w:r>
          </w:p>
        </w:tc>
        <w:tc>
          <w:tcPr>
            <w:tcW w:w="31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Formulation</w:t>
            </w:r>
          </w:p>
        </w:tc>
        <w:tc>
          <w:tcPr>
            <w:tcW w:w="17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PCE (%)</w:t>
            </w:r>
          </w:p>
        </w:tc>
        <w:tc>
          <w:tcPr>
            <w:tcW w:w="18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Stability (%)</w:t>
            </w:r>
          </w:p>
        </w:tc>
        <w:tc>
          <w:tcPr>
            <w:tcW w:w="17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Hysteresis (%)</w:t>
            </w:r>
          </w:p>
        </w:tc>
      </w:tr>
      <w:tr>
        <w:tc>
          <w:tcPr>
            <w:tcW w:w="1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S01</w:t>
            </w:r>
          </w:p>
        </w:tc>
        <w:tc>
          <w:tcPr>
            <w:tcW w:w="3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FA0.85MA0.15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19.15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89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3.2</w:t>
            </w:r>
          </w:p>
        </w:tc>
      </w:tr>
      <w:tr>
        <w:tc>
          <w:tcPr>
            <w:tcW w:w="1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S02</w:t>
            </w:r>
          </w:p>
        </w:tc>
        <w:tc>
          <w:tcPr>
            <w:tcW w:w="3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FA0.85MA0.15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20.16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91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2.8</w:t>
            </w:r>
          </w:p>
        </w:tc>
      </w:tr>
      <w:tr>
        <w:tc>
          <w:tcPr>
            <w:tcW w:w="1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S03</w:t>
            </w:r>
          </w:p>
        </w:tc>
        <w:tc>
          <w:tcPr>
            <w:tcW w:w="3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FA0.80MA0.20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18.94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85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4.1</w:t>
            </w:r>
          </w:p>
        </w:tc>
      </w:tr>
      <w:tr>
        <w:tc>
          <w:tcPr>
            <w:tcW w:w="1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S04</w:t>
            </w:r>
          </w:p>
        </w:tc>
        <w:tc>
          <w:tcPr>
            <w:tcW w:w="3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FA0.90MA0.10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21.1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94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2.1</w:t>
            </w:r>
          </w:p>
        </w:tc>
      </w:tr>
      <w:tr>
        <w:tc>
          <w:tcPr>
            <w:tcW w:w="1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S05</w:t>
            </w:r>
          </w:p>
        </w:tc>
        <w:tc>
          <w:tcPr>
            <w:tcW w:w="3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FA0.90MA0.10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19.9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92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2.5</w:t>
            </w:r>
          </w:p>
        </w:tc>
      </w:tr>
      <w:tr>
        <w:tc>
          <w:tcPr>
            <w:tcW w:w="1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S06</w:t>
            </w:r>
          </w:p>
        </w:tc>
        <w:tc>
          <w:tcPr>
            <w:tcW w:w="3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FA0.75MA0.25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17.36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78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5.9</w:t>
            </w:r>
          </w:p>
        </w:tc>
      </w:tr>
      <w:tr>
        <w:tc>
          <w:tcPr>
            <w:tcW w:w="1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S07</w:t>
            </w:r>
          </w:p>
        </w:tc>
        <w:tc>
          <w:tcPr>
            <w:tcW w:w="3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FA0.85MA0.15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20.44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90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2.7</w:t>
            </w:r>
          </w:p>
        </w:tc>
      </w:tr>
      <w:tr>
        <w:tc>
          <w:tcPr>
            <w:tcW w:w="1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S08</w:t>
            </w:r>
          </w:p>
        </w:tc>
        <w:tc>
          <w:tcPr>
            <w:tcW w:w="3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FA0.90MA0.10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21.28</w:t>
            </w:r>
          </w:p>
        </w:tc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95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1.9</w:t>
            </w:r>
          </w:p>
        </w:tc>
      </w:tr>
    </w:tbl>
    <w:p>
      <w:pPr>
        <w:pStyle w:val="Heading2"/>
      </w:pPr>
      <w:r>
        <w:rPr/>
        <w:t xml:space="preserve">Complete measurement table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900"/>
        <w:gridCol w:w="2450"/>
        <w:gridCol w:w="900"/>
        <w:gridCol w:w="1050"/>
        <w:gridCol w:w="1200"/>
        <w:gridCol w:w="1200"/>
        <w:gridCol w:w="1700"/>
      </w:tblGrid>
      <w:tr>
        <w:trPr>
          <w:tblHeader/>
        </w:trP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Sample</w:t>
            </w:r>
          </w:p>
        </w:tc>
        <w:tc>
          <w:tcPr>
            <w:tcW w:w="245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Formulation</w:t>
            </w:r>
          </w:p>
        </w:tc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Batch</w:t>
            </w:r>
          </w:p>
        </w:tc>
        <w:tc>
          <w:tcPr>
            <w:tcW w:w="105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Voc (V)</w:t>
            </w:r>
          </w:p>
        </w:tc>
        <w:tc>
          <w:tcPr>
            <w:tcW w:w="12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Jsc</w:t>
            </w:r>
          </w:p>
        </w:tc>
        <w:tc>
          <w:tcPr>
            <w:tcW w:w="12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FF (%)</w:t>
            </w:r>
          </w:p>
        </w:tc>
        <w:tc>
          <w:tcPr>
            <w:tcW w:w="17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PCE (%)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S01</w:t>
            </w:r>
          </w:p>
        </w:tc>
        <w:tc>
          <w:tcPr>
            <w:tcW w:w="24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FA0.85MA0.15</w:t>
            </w:r>
          </w:p>
        </w:tc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B01</w:t>
            </w:r>
          </w:p>
        </w:tc>
        <w:tc>
          <w:tcPr>
            <w:tcW w:w="10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1.08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22.7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78.1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19.15</w:t>
            </w:r>
          </w:p>
        </w:tc>
      </w:tr>
      <w:tr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S02</w:t>
            </w:r>
          </w:p>
        </w:tc>
        <w:tc>
          <w:tcPr>
            <w:tcW w:w="24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FA0.85MA0.15</w:t>
            </w:r>
          </w:p>
        </w:tc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B01</w:t>
            </w:r>
          </w:p>
        </w:tc>
        <w:tc>
          <w:tcPr>
            <w:tcW w:w="10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1.1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23.2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79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20.16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S03</w:t>
            </w:r>
          </w:p>
        </w:tc>
        <w:tc>
          <w:tcPr>
            <w:tcW w:w="24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FA0.80MA0.20</w:t>
            </w:r>
          </w:p>
        </w:tc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B02</w:t>
            </w:r>
          </w:p>
        </w:tc>
        <w:tc>
          <w:tcPr>
            <w:tcW w:w="10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1.07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22.9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77.3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18.94</w:t>
            </w:r>
          </w:p>
        </w:tc>
      </w:tr>
      <w:tr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S04</w:t>
            </w:r>
          </w:p>
        </w:tc>
        <w:tc>
          <w:tcPr>
            <w:tcW w:w="24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FA0.90MA0.10</w:t>
            </w:r>
          </w:p>
        </w:tc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B03</w:t>
            </w:r>
          </w:p>
        </w:tc>
        <w:tc>
          <w:tcPr>
            <w:tcW w:w="10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1.12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23.5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80.2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21.1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S05</w:t>
            </w:r>
          </w:p>
        </w:tc>
        <w:tc>
          <w:tcPr>
            <w:tcW w:w="24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FA0.90MA0.10</w:t>
            </w:r>
          </w:p>
        </w:tc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B03</w:t>
            </w:r>
          </w:p>
        </w:tc>
        <w:tc>
          <w:tcPr>
            <w:tcW w:w="10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1.09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23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79.4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19.9</w:t>
            </w:r>
          </w:p>
        </w:tc>
      </w:tr>
      <w:tr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S06</w:t>
            </w:r>
          </w:p>
        </w:tc>
        <w:tc>
          <w:tcPr>
            <w:tcW w:w="24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FA0.75MA0.25</w:t>
            </w:r>
          </w:p>
        </w:tc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B04</w:t>
            </w:r>
          </w:p>
        </w:tc>
        <w:tc>
          <w:tcPr>
            <w:tcW w:w="10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1.05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21.8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75.8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17.36</w:t>
            </w:r>
          </w:p>
        </w:tc>
      </w:tr>
      <w:tr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S07</w:t>
            </w:r>
          </w:p>
        </w:tc>
        <w:tc>
          <w:tcPr>
            <w:tcW w:w="24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FA0.85MA0.15</w:t>
            </w:r>
          </w:p>
        </w:tc>
        <w:tc>
          <w:tcPr>
            <w:tcW w:w="9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B05</w:t>
            </w:r>
          </w:p>
        </w:tc>
        <w:tc>
          <w:tcPr>
            <w:tcW w:w="10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1.11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23.1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79.7</w:t>
            </w:r>
          </w:p>
        </w:tc>
        <w:tc>
          <w:tcPr>
            <w:tcW w:w="1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20.44</w:t>
            </w:r>
          </w:p>
        </w:tc>
      </w:tr>
      <w:tr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S08</w:t>
            </w:r>
          </w:p>
        </w:tc>
        <w:tc>
          <w:tcPr>
            <w:tcW w:w="24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FA0.90MA0.10</w:t>
            </w:r>
          </w:p>
        </w:tc>
        <w:tc>
          <w:tcPr>
            <w:tcW w:w="9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B06</w:t>
            </w:r>
          </w:p>
        </w:tc>
        <w:tc>
          <w:tcPr>
            <w:tcW w:w="105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1.13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23.4</w:t>
            </w:r>
          </w:p>
        </w:tc>
        <w:tc>
          <w:tcPr>
            <w:tcW w:w="1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80.5</w:t>
            </w:r>
          </w:p>
        </w:tc>
        <w:tc>
          <w:tcPr>
            <w:tcW w:w="17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5"/>
              </w:rPr>
              <w:t xml:space="preserve">21.28</w:t>
            </w:r>
          </w:p>
        </w:tc>
      </w:tr>
    </w:tbl>
    <w:p>
      <w:pPr>
        <w:spacing w:after="60"/>
      </w:pP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2200"/>
        <w:gridCol w:w="3600"/>
        <w:gridCol w:w="3600"/>
      </w:tblGrid>
      <w:tr>
        <w:trPr>
          <w:tblHeader/>
        </w:trPr>
        <w:tc>
          <w:tcPr>
            <w:tcW w:w="22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Sample</w:t>
            </w:r>
          </w:p>
        </w:tc>
        <w:tc>
          <w:tcPr>
            <w:tcW w:w="36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Stability (%)</w:t>
            </w:r>
          </w:p>
        </w:tc>
        <w:tc>
          <w:tcPr>
            <w:tcW w:w="36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Hysteresis (%)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S01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89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3.2</w:t>
            </w:r>
          </w:p>
        </w:tc>
      </w:tr>
      <w:tr>
        <w:tc>
          <w:tcPr>
            <w:tcW w:w="2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S02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91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2.8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S03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85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4.1</w:t>
            </w:r>
          </w:p>
        </w:tc>
      </w:tr>
      <w:tr>
        <w:tc>
          <w:tcPr>
            <w:tcW w:w="2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S04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94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2.1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S05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92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2.5</w:t>
            </w:r>
          </w:p>
        </w:tc>
      </w:tr>
      <w:tr>
        <w:tc>
          <w:tcPr>
            <w:tcW w:w="2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S06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78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5.9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S07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90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2.7</w:t>
            </w:r>
          </w:p>
        </w:tc>
      </w:tr>
      <w:tr>
        <w:tc>
          <w:tcPr>
            <w:tcW w:w="22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S08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95</w:t>
            </w:r>
          </w:p>
        </w:tc>
        <w:tc>
          <w:tcPr>
            <w:tcW w:w="36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sz w:val="17"/>
              </w:rPr>
              <w:t xml:space="preserve">1.9</w:t>
            </w:r>
          </w:p>
        </w:tc>
      </w:tr>
    </w:tbl>
    <w:p>
      <w:pPr>
        <w:pStyle w:val="FieldLabel"/>
      </w:pPr>
      <w:r>
        <w:rPr/>
        <w:t xml:space="preserve">Researcher interpretation</w:t>
      </w:r>
    </w:p>
    <w:sdt>
      <w:sdtPr>
        <w:alias w:val="Researcher interpretation"/>
        <w:tag w:val="report.resultsNarrative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S08 remains the current performance leader.</w:t>
          </w:r>
        </w:p>
      </w:sdtContent>
    </w:sdt>
    <w:p>
      <w:r>
        <w:br w:type="page"/>
      </w:r>
    </w:p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04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Evidence-Linked Findings | advisory review</w:t>
            </w:r>
          </w:p>
        </w:tc>
      </w:tr>
    </w:tbl>
    <w:p>
      <w:pPr>
        <w:spacing w:after="80"/>
      </w:pPr>
    </w:p>
    <w:p>
      <w:pPr>
        <w:pStyle w:val="Callout"/>
      </w:pPr>
      <w:r>
        <w:rPr/>
        <w:t xml:space="preserve">AI-assisted findings are simulated and remain separate from researcher conclusions.</w:t>
      </w: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800"/>
        <w:gridCol w:w="2100"/>
        <w:gridCol w:w="3000"/>
        <w:gridCol w:w="2500"/>
        <w:gridCol w:w="1000"/>
      </w:tblGrid>
      <w:tr>
        <w:trPr>
          <w:tblHeader/>
        </w:trPr>
        <w:tc>
          <w:tcPr>
            <w:tcW w:w="8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Score</w:t>
            </w:r>
          </w:p>
        </w:tc>
        <w:tc>
          <w:tcPr>
            <w:tcW w:w="21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tcW w:w="30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Detail</w:t>
            </w:r>
          </w:p>
        </w:tc>
        <w:tc>
          <w:tcPr>
            <w:tcW w:w="25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tcW w:w="10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W w:w="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96</w:t>
            </w:r>
          </w:p>
        </w:tc>
        <w:tc>
          <w:tcPr>
            <w:tcW w:w="2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FA0.90MA0.10 is the strongest candidate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S04 and S08 lead both PCE and stability, with the lowest hysteresis.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S04, S08 · 7 metrics</w:t>
            </w:r>
          </w:p>
        </w:tc>
        <w:tc>
          <w:tcPr>
            <w:tcW w:w="1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accepted</w:t>
            </w:r>
          </w:p>
        </w:tc>
      </w:tr>
      <w:tr>
        <w:tc>
          <w:tcPr>
            <w:tcW w:w="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91</w:t>
            </w:r>
          </w:p>
        </w:tc>
        <w:tc>
          <w:tcPr>
            <w:tcW w:w="2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S06 is a multi-metric outlier</w:t>
            </w:r>
          </w:p>
        </w:tc>
        <w:tc>
          <w:tcPr>
            <w:tcW w:w="30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PCE, fill factor and stability are jointly below the robust cohort range; review fabrication notes before exclusion.</w:t>
            </w:r>
          </w:p>
        </w:tc>
        <w:tc>
          <w:tcPr>
            <w:tcW w:w="2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S06 · IQR + robust z</w:t>
            </w:r>
          </w:p>
        </w:tc>
        <w:tc>
          <w:tcPr>
            <w:tcW w:w="10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review</w:t>
            </w:r>
          </w:p>
        </w:tc>
      </w:tr>
      <w:tr>
        <w:tc>
          <w:tcPr>
            <w:tcW w:w="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88</w:t>
            </w:r>
          </w:p>
        </w:tc>
        <w:tc>
          <w:tcPr>
            <w:tcW w:w="2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Batch effect is smaller than formulation effect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Within-batch variation is limited compared with the shift between formulations.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Grouped comparison</w:t>
            </w:r>
          </w:p>
        </w:tc>
        <w:tc>
          <w:tcPr>
            <w:tcW w:w="1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accepted</w:t>
            </w:r>
          </w:p>
        </w:tc>
      </w:tr>
      <w:tr>
        <w:tc>
          <w:tcPr>
            <w:tcW w:w="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84</w:t>
            </w:r>
          </w:p>
        </w:tc>
        <w:tc>
          <w:tcPr>
            <w:tcW w:w="2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Stability and hysteresis are inversely associated</w:t>
            </w:r>
          </w:p>
        </w:tc>
        <w:tc>
          <w:tcPr>
            <w:tcW w:w="30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Lower hysteresis appears in the most stable devices; the sample count does not support a causal claim.</w:t>
            </w:r>
          </w:p>
        </w:tc>
        <w:tc>
          <w:tcPr>
            <w:tcW w:w="2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Spearman preview</w:t>
            </w:r>
          </w:p>
        </w:tc>
        <w:tc>
          <w:tcPr>
            <w:tcW w:w="10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review</w:t>
            </w:r>
          </w:p>
        </w:tc>
      </w:tr>
      <w:tr>
        <w:tc>
          <w:tcPr>
            <w:tcW w:w="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78</w:t>
            </w:r>
          </w:p>
        </w:tc>
        <w:tc>
          <w:tcPr>
            <w:tcW w:w="2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Two metadata gaps limit reproducibility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Humidity during coating and elapsed time before annealing are missing for B04 and B05.</w:t>
            </w:r>
          </w:p>
        </w:tc>
        <w:tc>
          <w:tcPr>
            <w:tcW w:w="2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Process records</w:t>
            </w:r>
          </w:p>
        </w:tc>
        <w:tc>
          <w:tcPr>
            <w:tcW w:w="10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 xml:space="preserve">action</w:t>
            </w:r>
          </w:p>
        </w:tc>
      </w:tr>
    </w:tbl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05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Researcher Decision | interpretation and boundaries</w:t>
            </w:r>
          </w:p>
        </w:tc>
      </w:tr>
    </w:tbl>
    <w:p>
      <w:pPr>
        <w:spacing w:after="80"/>
      </w:pPr>
    </w:p>
    <w:p>
      <w:pPr>
        <w:pStyle w:val="FieldLabel"/>
      </w:pPr>
      <w:r>
        <w:rPr/>
        <w:t xml:space="preserve">Discussion</w:t>
      </w:r>
    </w:p>
    <w:sdt>
      <w:sdtPr>
        <w:alias w:val="Discussion"/>
        <w:tag w:val="report.discussion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The current cohort supports validation but not causal inference.</w:t>
          </w:r>
        </w:p>
      </w:sdtContent>
    </w:sdt>
    <w:p>
      <w:pPr>
        <w:pStyle w:val="FieldLabel"/>
      </w:pPr>
      <w:r>
        <w:rPr/>
        <w:t xml:space="preserve">Conclusions</w:t>
      </w:r>
    </w:p>
    <w:sdt>
      <w:sdtPr>
        <w:alias w:val="Conclusions"/>
        <w:tag w:val="report.conclusions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S04 and S08 proceed to validation; S06 remains under review.</w:t>
          </w:r>
        </w:p>
      </w:sdtContent>
    </w:sdt>
    <w:p>
      <w:pPr>
        <w:pStyle w:val="FieldLabel"/>
      </w:pPr>
      <w:r>
        <w:rPr/>
        <w:t xml:space="preserve">Limitations</w:t>
      </w:r>
    </w:p>
    <w:sdt>
      <w:sdtPr>
        <w:alias w:val="Limitations"/>
        <w:tag w:val="report.limitations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Small demonstration cohort; no causal inference.</w:t>
          </w:r>
        </w:p>
      </w:sdtContent>
    </w:sdt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06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Additional notes</w:t>
            </w:r>
          </w:p>
        </w:tc>
      </w:tr>
    </w:tbl>
    <w:p>
      <w:pPr>
        <w:spacing w:after="80"/>
      </w:pPr>
    </w:p>
    <w:p>
      <w:pPr>
        <w:pStyle w:val="FieldLabel"/>
      </w:pPr>
      <w:r>
        <w:rPr/>
        <w:t xml:space="preserve">Additional notes</w:t>
      </w:r>
    </w:p>
    <w:sdt>
      <w:sdtPr>
        <w:alias w:val="Additional notes"/>
        <w:tag w:val="report.customBody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The author requested one additional validation run.</w:t>
          </w:r>
        </w:p>
      </w:sdtContent>
    </w:sdt>
    <w:tbl>
      <w:tblPr>
        <w:tblW w:w="9400" w:type="dxa"/>
        <w:tblLayout w:type="fixed"/>
        <w:tblBorders>
          <w:bottom w:val="single" w:sz="12" w:color="087F7B"/>
        </w:tblBorders>
      </w:tblPr>
      <w:tblGrid>
        <w:gridCol w:w="900"/>
        <w:gridCol w:w="8500"/>
      </w:tblGrid>
      <w:tr>
        <w:tc>
          <w:tcPr>
            <w:tcW w:w="9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07</w:t>
            </w:r>
          </w:p>
        </w:tc>
        <w:tc>
          <w:tcPr>
            <w:tcW w:w="8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2828"/>
                <w:sz w:val="24"/>
              </w:rPr>
              <w:t xml:space="preserve">Provenance and Approval | evidence classes and final state</w:t>
            </w:r>
          </w:p>
        </w:tc>
      </w:tr>
    </w:tbl>
    <w:p>
      <w:pPr>
        <w:spacing w:after="80"/>
      </w:pPr>
    </w:p>
    <w:tbl>
      <w:tblPr>
        <w:tblW w:w="9400" w:type="dxa"/>
        <w:tblLayout w:type="fixed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3" w:color="D6DEE8"/>
          <w:insideV w:val="single" w:sz="3" w:color="D6DEE8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800"/>
        <w:gridCol w:w="4100"/>
        <w:gridCol w:w="3500"/>
      </w:tblGrid>
      <w:tr>
        <w:trPr>
          <w:tblHeader/>
        </w:trPr>
        <w:tc>
          <w:tcPr>
            <w:tcW w:w="18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Evidence class</w:t>
            </w:r>
          </w:p>
        </w:tc>
        <w:tc>
          <w:tcPr>
            <w:tcW w:w="41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Origin</w:t>
            </w:r>
          </w:p>
        </w:tc>
        <w:tc>
          <w:tcPr>
            <w:tcW w:w="3500" w:type="dxa"/>
            <w:shd w:val="clear" w:color="auto" w:fill="087F7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Control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Raw</w:t>
            </w:r>
          </w:p>
        </w:tc>
        <w:tc>
          <w:tcPr>
            <w:tcW w:w="4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Local measurement files</w:t>
            </w:r>
          </w:p>
        </w:tc>
        <w:tc>
          <w:tcPr>
            <w:tcW w:w="3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Preserved</w:t>
            </w:r>
          </w:p>
        </w:tc>
      </w:tr>
      <w:tr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Calculated</w:t>
            </w:r>
          </w:p>
        </w:tc>
        <w:tc>
          <w:tcPr>
            <w:tcW w:w="4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Deterministic transformations</w:t>
            </w:r>
          </w:p>
        </w:tc>
        <w:tc>
          <w:tcPr>
            <w:tcW w:w="3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Reproducible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Researcher</w:t>
            </w:r>
          </w:p>
        </w:tc>
        <w:tc>
          <w:tcPr>
            <w:tcW w:w="41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Objectives, interpretation and approval</w:t>
            </w:r>
          </w:p>
        </w:tc>
        <w:tc>
          <w:tcPr>
            <w:tcW w:w="3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Human authored</w:t>
            </w:r>
          </w:p>
        </w:tc>
      </w:tr>
      <w:tr>
        <w:tc>
          <w:tcPr>
            <w:tcW w:w="18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AI</w:t>
            </w:r>
          </w:p>
        </w:tc>
        <w:tc>
          <w:tcPr>
            <w:tcW w:w="41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Local demonstration rules</w:t>
            </w:r>
          </w:p>
        </w:tc>
        <w:tc>
          <w:tcPr>
            <w:tcW w:w="3500" w:type="dxa"/>
            <w:shd w:val="clear" w:color="auto" w:fill="F7F9FB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</w:rPr>
              <w:t xml:space="preserve">Researcher review</w:t>
            </w:r>
          </w:p>
        </w:tc>
      </w:tr>
    </w:tbl>
    <w:p>
      <w:pPr>
        <w:pStyle w:val="Heading2"/>
      </w:pPr>
      <w:r>
        <w:rPr/>
        <w:t xml:space="preserve">Source appendix</w:t>
      </w:r>
    </w:p>
    <w:p>
      <w:pPr>
        <w:pStyle w:val="SmallText"/>
      </w:pPr>
      <w:r>
        <w:rPr/>
        <w:t xml:space="preserve">batch_B03_forward.csv - source-aligned JV measurements; process_metadata.yaml - process metadata; SOL-B04 - reviewed solution snapshot; STK-003/v2 - versioned device architecture.</w:t>
      </w:r>
    </w:p>
    <w:p>
      <w:pPr>
        <w:pStyle w:val="FieldLabel"/>
      </w:pPr>
      <w:r>
        <w:rPr/>
        <w:t xml:space="preserve">Approval / signature state</w:t>
      </w:r>
    </w:p>
    <w:sdt>
      <w:sdtPr>
        <w:alias w:val="Approval / signature state"/>
        <w:tag w:val="report.approval"/>
        <w:text w:multiLine="1"/>
      </w:sdtPr>
      <w:sdtContent>
        <w:p>
          <w:pPr>
            <w:shd w:val="clear" w:color="auto" w:fill="FFF8E8"/>
            <w:spacing w:before="100" w:after="160"/>
            <w:ind w:left="150" w:right="150"/>
            <w:pbdr>
              <w:left w:val="single" w:sz="14" w:space="5" w:color="087F7B"/>
            </w:pbdr>
          </w:pPr>
          <w:r>
            <w:rPr>
              <w:color w:val="273448"/>
            </w:rPr>
            <w:t xml:space="preserve">Pending researcher signature</w:t>
          </w:r>
        </w:p>
      </w:sdtContent>
    </w:sdt>
    <w:sectPr>
      <w:headerReference w:type="default" r:id="rId2"/>
      <w:footerReference w:type="default" r:id="rId3"/>
      <w:pgSz w:w="11906" w:h="16838"/>
      <w:pgMar w:top="650" w:right="700" w:bottom="700" w:left="70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right"/>
      <w:pBdr>
        <w:top w:val="single" w:sz="4" w:space="4" w:color="D6DEE8"/>
      </w:pBdr>
    </w:pPr>
    <w:r>
      <w:rPr>
        <w:color w:val="667085"/>
        <w:sz w:val="15"/>
      </w:rPr>
      <w:t xml:space="preserve">University of Rome Tor Vergata  |  Pending researcher signature  |  Page </w:t>
    </w:r>
    <w:r>
      <w:rPr>
        <w:color w:val="087F7B"/>
        <w:b/>
        <w:sz w:val="15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9400" w:type="dxa"/>
      <w:tblBorders>
        <w:bottom w:val="single" w:sz="6" w:color="087F7B"/>
      </w:tblBorders>
    </w:tblPr>
    <w:tblGrid>
      <w:gridCol w:w="4700"/>
      <w:gridCol w:w="4700"/>
    </w:tblGrid>
    <w:tr>
      <w:tc>
        <w:tcPr>
          <w:tcW w:w="4700" w:type="dxa"/>
          <w:tcMar>
            <w:top w:w="75" w:type="dxa"/>
            <w:left w:w="90" w:type="dxa"/>
            <w:bottom w:w="75" w:type="dxa"/>
            <w:right w:w="90" w:type="dxa"/>
          </w:tcMar>
          <w:vAlign w:val="center"/>
        </w:tcPr>
        <w:p>
          <w:pPr>
            <w:spacing w:after="0"/>
          </w:pPr>
          <w:r>
            <w:rPr>
              <w:b/>
              <w:color w:val="087F7B"/>
              <w:sz w:val="18"/>
            </w:rPr>
            <w:t xml:space="preserve">LABFLOW</w:t>
          </w:r>
        </w:p>
      </w:tc>
      <w:tc>
        <w:tcPr>
          <w:tcW w:w="4700" w:type="dxa"/>
          <w:tcMar>
            <w:top w:w="75" w:type="dxa"/>
            <w:left w:w="90" w:type="dxa"/>
            <w:bottom w:w="75" w:type="dxa"/>
            <w:right w:w="90" w:type="dxa"/>
          </w:tcMar>
          <w:vAlign w:val="center"/>
        </w:tcPr>
        <w:p>
          <w:pPr>
            <w:spacing w:after="0"/>
            <w:jc w:val="right"/>
          </w:pPr>
          <w:r>
            <w:rPr>
              <w:color w:val="667085"/>
              <w:sz w:val="16"/>
            </w:rPr>
            <w:t xml:space="preserve">PRJ-2026-014-R01  |  Scientific project report</w:t>
          </w:r>
        </w:p>
      </w:tc>
    </w:tr>
  </w:tbl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19"/>
        <w:color w:val="273448"/>
      </w:rPr>
    </w:rPrDefault>
    <w:pPrDefault>
      <w:pPr>
        <w:spacing w:after="90" w:line="255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pPr>
      <w:spacing w:after="100" w:line="265" w:lineRule="auto"/>
    </w:pPr>
  </w:style>
  <w:style w:type="paragraph" w:styleId="Heading1">
    <w:name w:val="Heading 1"/>
    <w:basedOn w:val="Normal"/>
    <w:pPr>
      <w:keepNext/>
      <w:outlineLvl w:val="0"/>
      <w:spacing w:before="180" w:after="90"/>
    </w:pPr>
    <w:rPr>
      <w:b/>
      <w:color w:val="087F7B"/>
      <w:sz w:val="30"/>
    </w:rPr>
  </w:style>
  <w:style w:type="paragraph" w:styleId="Heading2">
    <w:name w:val="Heading 2"/>
    <w:basedOn w:val="Normal"/>
    <w:pPr>
      <w:keepNext/>
      <w:outlineLvl w:val="1"/>
      <w:spacing w:before="150" w:after="70"/>
    </w:pPr>
    <w:rPr>
      <w:b/>
      <w:color w:val="0D2828"/>
      <w:sz w:val="23"/>
    </w:rPr>
  </w:style>
  <w:style w:type="paragraph" w:styleId="FieldLabel">
    <w:name w:val="Field Label"/>
    <w:basedOn w:val="Normal"/>
    <w:pPr>
      <w:keepNext/>
      <w:spacing w:before="100" w:after="45"/>
    </w:pPr>
    <w:rPr>
      <w:b/>
      <w:color w:val="087F7B"/>
      <w:sz w:val="17"/>
      <w:caps/>
    </w:rPr>
  </w:style>
  <w:style w:type="paragraph" w:styleId="Callout">
    <w:name w:val="Callout"/>
    <w:basedOn w:val="BodyText"/>
    <w:pPr>
      <w:shd w:val="clear" w:fill="EEF4F5"/>
      <w:ind w:left="160" w:right="160"/>
      <w:spacing w:before="100" w:after="120"/>
    </w:pPr>
    <w:rPr>
      <w:color w:val="667085"/>
      <w:i/>
    </w:rPr>
  </w:style>
  <w:style w:type="paragraph" w:styleId="SmallText">
    <w:name w:val="Small Text"/>
    <w:basedOn w:val="Normal"/>
    <w:rPr>
      <w:color w:val="667085"/>
      <w:sz w:val="16"/>
    </w:rPr>
  </w:style>
  <w:style w:type="paragraph" w:styleId="CoverEyebrow">
    <w:name w:val="Cover Eyebrow"/>
    <w:basedOn w:val="Normal"/>
  </w:style>
  <w:style w:type="paragraph" w:styleId="CoverTitle">
    <w:name w:val="Cover Title"/>
    <w:basedOn w:val="Normal"/>
    <w:pPr>
      <w:spacing w:before="180" w:after="60"/>
    </w:pPr>
  </w:style>
  <w:style w:type="paragraph" w:styleId="CoverSubtitle">
    <w:name w:val="Cover Subtitle"/>
    <w:basedOn w:val="Normal"/>
  </w:style>
  <w:style w:type="paragraph" w:styleId="CoverMeta">
    <w:name w:val="Cover Meta"/>
    <w:basedOn w:val="Normal"/>
    <w:pPr>
      <w:spacing w:after="45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LabFlow</Application>
  <Company>University of Rome Tor Vergata</Company>
</Properties>
</file>

<file path=docProps/core.xml><?xml version="1.0" encoding="utf-8"?>
<cp:coreProperties xmlns:cp="http://schemas.openxmlformats.org/package/2006/metadata/core-properties" xmlns:dc="http://purl.org/dc/elements/1.1/">
  <dc:title>Mixed-Cation Validation Report</dc:title>
  <dc:creator>Matteo Ginesi</dc:creator>
  <dc:subject>Scientific project report</dc:subject>
  <dc:description>Professional editable LabFlow report generated from the current Report Composer state.</dc:description>
  <cp:keywords>perovskite, mixed-cation, validation</cp:keywords>
</cp:coreProperties>
</file>