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rPr/>
        <w:t xml:space="preserve">Mixed-Cation Validation Report</w:t>
      </w:r>
    </w:p>
    <w:p>
      <w:pPr>
        <w:pStyle w:val="Subtitle"/>
      </w:pPr>
      <w:r>
        <w:rPr/>
        <w:t xml:space="preserve">Editable local report test</w:t>
      </w:r>
    </w:p>
    <w:p>
      <w:pPr>
        <w:pStyle w:val="BodyText"/>
      </w:pPr>
      <w:r>
        <w:rPr/>
        <w:t xml:space="preserve">PRJ-2026-014 · CHOSE — Centre for Hybrid and Organic Solar Energy</w:t>
      </w:r>
    </w:p>
    <w:tbl>
      <w:tblPr>
        <w:tblStyle w:val="TableGrid"/>
        <w:tblW w:w="0" w:type="auto"/>
      </w:tblPr>
      <w:tblGrid>
        <w:gridCol w:w="1200"/>
        <w:gridCol w:w="1200"/>
        <w:gridCol w:w="1200"/>
      </w:tblGrid>
      <w:tr>
        <w:tc>
          <w:tcPr>
            <w:shd w:val="clear" w:color="auto" w:fill="087F7B"/>
          </w:tcPr>
          <w:p>
            <w:r>
              <w:rPr>
                <w:b/>
                <w:color w:val="FFFFFF"/>
              </w:rPr>
              <w:t xml:space="preserve">REPORT OWNER</w:t>
            </w:r>
          </w:p>
        </w:tc>
        <w:tc>
          <w:tcPr>
            <w:shd w:val="clear" w:color="auto" w:fill="087F7B"/>
          </w:tcPr>
          <w:p>
            <w:r>
              <w:rPr>
                <w:b/>
                <w:color w:val="FFFFFF"/>
              </w:rPr>
              <w:t xml:space="preserve">PROJECT STATUS</w:t>
            </w:r>
          </w:p>
        </w:tc>
        <w:tc>
          <w:tcPr>
            <w:shd w:val="clear" w:color="auto" w:fill="087F7B"/>
          </w:tcPr>
          <w:p>
            <w:r>
              <w:rPr>
                <w:b/>
                <w:color w:val="FFFFFF"/>
              </w:rPr>
              <w:t xml:space="preserve">APPROVAL</w:t>
            </w:r>
          </w:p>
        </w:tc>
      </w:tr>
      <w:tr>
        <w:tc>
          <w:tcPr/>
          <w:p>
            <w:r>
              <w:rPr/>
              <w:t xml:space="preserve">Matteo Ginesi</w:t>
            </w:r>
          </w:p>
        </w:tc>
        <w:tc>
          <w:tcPr/>
          <w:p>
            <w:r>
              <w:rPr/>
              <w:t xml:space="preserve">active</w:t>
            </w:r>
          </w:p>
        </w:tc>
        <w:tc>
          <w:tcPr/>
          <w:p>
            <w:r>
              <w:rPr/>
              <w:t xml:space="preserve">Pending researcher signature</w:t>
            </w:r>
          </w:p>
        </w:tc>
      </w:tr>
    </w:tbl>
    <w:p>
      <w:pPr>
        <w:pStyle w:val="BodyText"/>
      </w:pPr>
      <w:r>
        <w:rPr/>
        <w:t xml:space="preserve">Editable working report · highlighted sections are structured researcher fields.</w:t>
      </w:r>
    </w:p>
    <w:p>
      <w:r>
        <w:br w:type="page"/>
      </w:r>
    </w:p>
    <w:p>
      <w:pPr>
        <w:pStyle w:val="Heading1"/>
      </w:pPr>
      <w:r>
        <w:rPr/>
        <w:t xml:space="preserve"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t>Update this field in Word to refresh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 xml:space="preserve">Executive Summary</w:t>
      </w:r>
    </w:p>
    <w:p>
      <w:pPr>
        <w:pStyle w:val="Heading2"/>
      </w:pPr>
      <w:r>
        <w:rPr/>
        <w:t xml:space="preserve">Executive summary</w:t>
      </w:r>
    </w:p>
    <w:sdt>
      <w:sdtPr>
        <w:alias w:val="Executive summary"/>
        <w:tag w:val="report.executive_summary"/>
        <w:text w:multiLine="1"/>
      </w:sdtPr>
      <w:sdtContent>
        <w:p>
          <w:pPr>
            <w:shd w:val="clear" w:color="auto" w:fill="FFF3D6"/>
            <w:spacing w:before="100" w:after="180"/>
            <w:ind w:left="120" w:right="120"/>
          </w:pPr>
          <w:r>
            <w:rPr/>
            <w:t xml:space="preserve">The leading formulation remains FA0.90MA0.10.</w:t>
          </w:r>
        </w:p>
      </w:sdtContent>
    </w:sdt>
    <w:p>
      <w:pPr>
        <w:pStyle w:val="Heading1"/>
      </w:pPr>
      <w:r>
        <w:rPr/>
        <w:t xml:space="preserve">Objectives</w:t>
      </w:r>
    </w:p>
    <w:p>
      <w:pPr>
        <w:pStyle w:val="Heading2"/>
      </w:pPr>
      <w:r>
        <w:rPr/>
        <w:t xml:space="preserve">Research objectives</w:t>
      </w:r>
    </w:p>
    <w:sdt>
      <w:sdtPr>
        <w:alias w:val="Research objectives"/>
        <w:tag w:val="report.objectives"/>
        <w:text w:multiLine="1"/>
      </w:sdtPr>
      <w:sdtContent>
        <w:p>
          <w:pPr>
            <w:shd w:val="clear" w:color="auto" w:fill="FFF3D6"/>
            <w:spacing w:before="100" w:after="180"/>
            <w:ind w:left="120" w:right="120"/>
          </w:pPr>
          <w:r>
            <w:rPr/>
            <w:t xml:space="preserve">Compare MA/FA ratios and identify the most stable high-efficiency device stack.</w:t>
          </w:r>
        </w:p>
      </w:sdtContent>
    </w:sdt>
    <w:p>
      <w:pPr>
        <w:pStyle w:val="Heading1"/>
      </w:pPr>
      <w:r>
        <w:rPr/>
        <w:t xml:space="preserve">Decision Snapshot</w:t>
      </w:r>
    </w:p>
    <w:tbl>
      <w:tblPr>
        <w:tblStyle w:val="TableGrid"/>
        <w:tblW w:w="0" w:type="auto"/>
      </w:tblPr>
      <w:tblGrid>
        <w:gridCol w:w="1200"/>
        <w:gridCol w:w="1200"/>
        <w:gridCol w:w="1200"/>
        <w:gridCol w:w="1200"/>
        <w:gridCol w:w="1200"/>
      </w:tblGrid>
      <w:tr>
        <w:tc>
          <w:tcPr>
            <w:shd w:val="clear" w:color="auto" w:fill="087F7B"/>
          </w:tcPr>
          <w:p>
            <w:r>
              <w:rPr>
                <w:b/>
                <w:color w:val="FFFFFF"/>
              </w:rPr>
              <w:t xml:space="preserve">Best sample</w:t>
            </w:r>
          </w:p>
        </w:tc>
        <w:tc>
          <w:tcPr>
            <w:shd w:val="clear" w:color="auto" w:fill="087F7B"/>
          </w:tcPr>
          <w:p>
            <w:r>
              <w:rPr>
                <w:b/>
                <w:color w:val="FFFFFF"/>
              </w:rPr>
              <w:t xml:space="preserve">Best PCE</w:t>
            </w:r>
          </w:p>
        </w:tc>
        <w:tc>
          <w:tcPr>
            <w:shd w:val="clear" w:color="auto" w:fill="087F7B"/>
          </w:tcPr>
          <w:p>
            <w:r>
              <w:rPr>
                <w:b/>
                <w:color w:val="FFFFFF"/>
              </w:rPr>
              <w:t xml:space="preserve">Stability</w:t>
            </w:r>
          </w:p>
        </w:tc>
        <w:tc>
          <w:tcPr>
            <w:shd w:val="clear" w:color="auto" w:fill="087F7B"/>
          </w:tcPr>
          <w:p>
            <w:r>
              <w:rPr>
                <w:b/>
                <w:color w:val="FFFFFF"/>
              </w:rPr>
              <w:t xml:space="preserve">Samples</w:t>
            </w:r>
          </w:p>
        </w:tc>
        <w:tc>
          <w:tcPr>
            <w:shd w:val="clear" w:color="auto" w:fill="087F7B"/>
          </w:tcPr>
          <w:p>
            <w:r>
              <w:rPr>
                <w:b/>
                <w:color w:val="FFFFFF"/>
              </w:rPr>
              <w:t xml:space="preserve">AI findings</w:t>
            </w:r>
          </w:p>
        </w:tc>
      </w:tr>
      <w:tr>
        <w:tc>
          <w:tcPr/>
          <w:p>
            <w:r>
              <w:rPr/>
              <w:t xml:space="preserve">S08</w:t>
            </w:r>
          </w:p>
        </w:tc>
        <w:tc>
          <w:tcPr/>
          <w:p>
            <w:r>
              <w:rPr/>
              <w:t xml:space="preserve">21.28%</w:t>
            </w:r>
          </w:p>
        </w:tc>
        <w:tc>
          <w:tcPr/>
          <w:p>
            <w:r>
              <w:rPr/>
              <w:t xml:space="preserve">95%</w:t>
            </w:r>
          </w:p>
        </w:tc>
        <w:tc>
          <w:tcPr/>
          <w:p>
            <w:r>
              <w:rPr/>
              <w:t xml:space="preserve">8</w:t>
            </w:r>
          </w:p>
        </w:tc>
        <w:tc>
          <w:tcPr/>
          <w:p>
            <w:r>
              <w:rPr/>
              <w:t xml:space="preserve">5</w:t>
            </w:r>
          </w:p>
        </w:tc>
      </w:tr>
    </w:tbl>
    <w:p>
      <w:pPr>
        <w:pStyle w:val="Heading1"/>
      </w:pPr>
      <w:r>
        <w:rPr/>
        <w:t xml:space="preserve">Solution Review</w:t>
      </w:r>
    </w:p>
    <w:tbl>
      <w:tblPr>
        <w:tblStyle w:val="TableGrid"/>
        <w:tblW w:w="0" w:type="auto"/>
      </w:tblPr>
      <w:tblGrid>
        <w:gridCol w:w="1200"/>
        <w:gridCol w:w="1200"/>
        <w:gridCol w:w="1200"/>
        <w:gridCol w:w="1200"/>
      </w:tblGrid>
      <w:tr>
        <w:tc>
          <w:tcPr>
            <w:shd w:val="clear" w:color="auto" w:fill="087F7B"/>
          </w:tcPr>
          <w:p>
            <w:r>
              <w:rPr>
                <w:b/>
                <w:color w:val="FFFFFF"/>
              </w:rPr>
              <w:t xml:space="preserve">Component</w:t>
            </w:r>
          </w:p>
        </w:tc>
        <w:tc>
          <w:tcPr>
            <w:shd w:val="clear" w:color="auto" w:fill="087F7B"/>
          </w:tcPr>
          <w:p>
            <w:r>
              <w:rPr>
                <w:b/>
                <w:color w:val="FFFFFF"/>
              </w:rPr>
              <w:t xml:space="preserve">Function</w:t>
            </w:r>
          </w:p>
        </w:tc>
        <w:tc>
          <w:tcPr>
            <w:shd w:val="clear" w:color="auto" w:fill="087F7B"/>
          </w:tcPr>
          <w:p>
            <w:r>
              <w:rPr>
                <w:b/>
                <w:color w:val="FFFFFF"/>
              </w:rPr>
              <w:t xml:space="preserve">Quantity</w:t>
            </w:r>
          </w:p>
        </w:tc>
        <w:tc>
          <w:tcPr>
            <w:shd w:val="clear" w:color="auto" w:fill="087F7B"/>
          </w:tcPr>
          <w:p>
            <w:r>
              <w:rPr>
                <w:b/>
                <w:color w:val="FFFFFF"/>
              </w:rPr>
              <w:t xml:space="preserve">Composition</w:t>
            </w:r>
          </w:p>
        </w:tc>
      </w:tr>
      <w:tr>
        <w:tc>
          <w:tcPr/>
          <w:p>
            <w:r>
              <w:rPr/>
              <w:t xml:space="preserve">DMF</w:t>
            </w:r>
          </w:p>
        </w:tc>
        <w:tc>
          <w:tcPr/>
          <w:p>
            <w:r>
              <w:rPr/>
              <w:t xml:space="preserve">Primary solvent</w:t>
            </w:r>
          </w:p>
        </w:tc>
        <w:tc>
          <w:tcPr/>
          <w:p>
            <w:r>
              <w:rPr/>
              <w:t xml:space="preserve">1.60 mL</w:t>
            </w:r>
          </w:p>
        </w:tc>
        <w:tc>
          <w:tcPr/>
          <w:p>
            <w:r>
              <w:rPr/>
              <w:t xml:space="preserve">80% v/v</w:t>
            </w:r>
          </w:p>
        </w:tc>
      </w:tr>
      <w:tr>
        <w:tc>
          <w:tcPr/>
          <w:p>
            <w:r>
              <w:rPr/>
              <w:t xml:space="preserve">DMSO</w:t>
            </w:r>
          </w:p>
        </w:tc>
        <w:tc>
          <w:tcPr/>
          <w:p>
            <w:r>
              <w:rPr/>
              <w:t xml:space="preserve">Co-solvent</w:t>
            </w:r>
          </w:p>
        </w:tc>
        <w:tc>
          <w:tcPr/>
          <w:p>
            <w:r>
              <w:rPr/>
              <w:t xml:space="preserve">0.40 mL</w:t>
            </w:r>
          </w:p>
        </w:tc>
        <w:tc>
          <w:tcPr/>
          <w:p>
            <w:r>
              <w:rPr/>
              <w:t xml:space="preserve">20% v/v</w:t>
            </w:r>
          </w:p>
        </w:tc>
      </w:tr>
      <w:tr>
        <w:tc>
          <w:tcPr/>
          <w:p>
            <w:r>
              <w:rPr/>
              <w:t xml:space="preserve">FAI</w:t>
            </w:r>
          </w:p>
        </w:tc>
        <w:tc>
          <w:tcPr/>
          <w:p>
            <w:r>
              <w:rPr/>
              <w:t xml:space="preserve">A-site solute</w:t>
            </w:r>
          </w:p>
        </w:tc>
        <w:tc>
          <w:tcPr/>
          <w:p>
            <w:r>
              <w:rPr/>
              <w:t xml:space="preserve">365.3 mg</w:t>
            </w:r>
          </w:p>
        </w:tc>
        <w:tc>
          <w:tcPr/>
          <w:p>
            <w:r>
              <w:rPr/>
              <w:t xml:space="preserve">90 mol%</w:t>
            </w:r>
          </w:p>
        </w:tc>
      </w:tr>
      <w:tr>
        <w:tc>
          <w:tcPr/>
          <w:p>
            <w:r>
              <w:rPr/>
              <w:t xml:space="preserve">MAI</w:t>
            </w:r>
          </w:p>
        </w:tc>
        <w:tc>
          <w:tcPr/>
          <w:p>
            <w:r>
              <w:rPr/>
              <w:t xml:space="preserve">A-site solute</w:t>
            </w:r>
          </w:p>
        </w:tc>
        <w:tc>
          <w:tcPr/>
          <w:p>
            <w:r>
              <w:rPr/>
              <w:t xml:space="preserve">39.7 mg</w:t>
            </w:r>
          </w:p>
        </w:tc>
        <w:tc>
          <w:tcPr/>
          <w:p>
            <w:r>
              <w:rPr/>
              <w:t xml:space="preserve">10 mol%</w:t>
            </w:r>
          </w:p>
        </w:tc>
      </w:tr>
      <w:tr>
        <w:tc>
          <w:tcPr/>
          <w:p>
            <w:r>
              <w:rPr/>
              <w:t xml:space="preserve">PbI2</w:t>
            </w:r>
          </w:p>
        </w:tc>
        <w:tc>
          <w:tcPr/>
          <w:p>
            <w:r>
              <w:rPr/>
              <w:t xml:space="preserve">Lead halide</w:t>
            </w:r>
          </w:p>
        </w:tc>
        <w:tc>
          <w:tcPr/>
          <w:p>
            <w:r>
              <w:rPr/>
              <w:t xml:space="preserve">1152.5 mg</w:t>
            </w:r>
          </w:p>
        </w:tc>
        <w:tc>
          <w:tcPr/>
          <w:p>
            <w:r>
              <w:rPr/>
              <w:t xml:space="preserve">1.00 eq</w:t>
            </w:r>
          </w:p>
        </w:tc>
      </w:tr>
    </w:tbl>
    <w:p>
      <w:pPr>
        <w:pStyle w:val="Heading1"/>
      </w:pPr>
      <w:r>
        <w:rPr/>
        <w:t xml:space="preserve">Stack Review</w:t>
      </w:r>
    </w:p>
    <w:tbl>
      <w:tblPr>
        <w:tblStyle w:val="TableGrid"/>
        <w:tblW w:w="0" w:type="auto"/>
      </w:tblPr>
      <w:tblGrid>
        <w:gridCol w:w="1200"/>
        <w:gridCol w:w="1200"/>
        <w:gridCol w:w="1200"/>
        <w:gridCol w:w="1200"/>
        <w:gridCol w:w="1200"/>
      </w:tblGrid>
      <w:tr>
        <w:tc>
          <w:tcPr>
            <w:shd w:val="clear" w:color="auto" w:fill="087F7B"/>
          </w:tcPr>
          <w:p>
            <w:r>
              <w:rPr>
                <w:b/>
                <w:color w:val="FFFFFF"/>
              </w:rPr>
              <w:t xml:space="preserve">Order</w:t>
            </w:r>
          </w:p>
        </w:tc>
        <w:tc>
          <w:tcPr>
            <w:shd w:val="clear" w:color="auto" w:fill="087F7B"/>
          </w:tcPr>
          <w:p>
            <w:r>
              <w:rPr>
                <w:b/>
                <w:color w:val="FFFFFF"/>
              </w:rPr>
              <w:t xml:space="preserve">Material</w:t>
            </w:r>
          </w:p>
        </w:tc>
        <w:tc>
          <w:tcPr>
            <w:shd w:val="clear" w:color="auto" w:fill="087F7B"/>
          </w:tcPr>
          <w:p>
            <w:r>
              <w:rPr>
                <w:b/>
                <w:color w:val="FFFFFF"/>
              </w:rPr>
              <w:t xml:space="preserve">Function</w:t>
            </w:r>
          </w:p>
        </w:tc>
        <w:tc>
          <w:tcPr>
            <w:shd w:val="clear" w:color="auto" w:fill="087F7B"/>
          </w:tcPr>
          <w:p>
            <w:r>
              <w:rPr>
                <w:b/>
                <w:color w:val="FFFFFF"/>
              </w:rPr>
              <w:t xml:space="preserve">Thickness</w:t>
            </w:r>
          </w:p>
        </w:tc>
        <w:tc>
          <w:tcPr>
            <w:shd w:val="clear" w:color="auto" w:fill="087F7B"/>
          </w:tcPr>
          <w:p>
            <w:r>
              <w:rPr>
                <w:b/>
                <w:color w:val="FFFFFF"/>
              </w:rPr>
              <w:t xml:space="preserve">Process</w:t>
            </w:r>
          </w:p>
        </w:tc>
      </w:tr>
      <w:tr>
        <w:tc>
          <w:tcPr/>
          <w:p>
            <w:r>
              <w:rPr/>
              <w:t xml:space="preserve">1</w:t>
            </w:r>
          </w:p>
        </w:tc>
        <w:tc>
          <w:tcPr/>
          <w:p>
            <w:r>
              <w:rPr/>
              <w:t xml:space="preserve">Glass / FTO</w:t>
            </w:r>
          </w:p>
        </w:tc>
        <w:tc>
          <w:tcPr/>
          <w:p>
            <w:r>
              <w:rPr/>
              <w:t xml:space="preserve">Substrate + front contact</w:t>
            </w:r>
          </w:p>
        </w:tc>
        <w:tc>
          <w:tcPr/>
          <w:p>
            <w:r>
              <w:rPr/>
              <w:t xml:space="preserve">2.2 mm</w:t>
            </w:r>
          </w:p>
        </w:tc>
        <w:tc>
          <w:tcPr/>
          <w:p>
            <w:r>
              <w:rPr/>
              <w:t xml:space="preserve">Cleaning</w:t>
            </w:r>
          </w:p>
        </w:tc>
      </w:tr>
      <w:tr>
        <w:tc>
          <w:tcPr/>
          <w:p>
            <w:r>
              <w:rPr/>
              <w:t xml:space="preserve">2</w:t>
            </w:r>
          </w:p>
        </w:tc>
        <w:tc>
          <w:tcPr/>
          <w:p>
            <w:r>
              <w:rPr/>
              <w:t xml:space="preserve">SnO2</w:t>
            </w:r>
          </w:p>
        </w:tc>
        <w:tc>
          <w:tcPr/>
          <w:p>
            <w:r>
              <w:rPr/>
              <w:t xml:space="preserve">Electron transport</w:t>
            </w:r>
          </w:p>
        </w:tc>
        <w:tc>
          <w:tcPr/>
          <w:p>
            <w:r>
              <w:rPr/>
              <w:t xml:space="preserve">32 nm</w:t>
            </w:r>
          </w:p>
        </w:tc>
        <w:tc>
          <w:tcPr/>
          <w:p>
            <w:r>
              <w:rPr/>
              <w:t xml:space="preserve">Spin coat</w:t>
            </w:r>
          </w:p>
        </w:tc>
      </w:tr>
      <w:tr>
        <w:tc>
          <w:tcPr/>
          <w:p>
            <w:r>
              <w:rPr/>
              <w:t xml:space="preserve">3</w:t>
            </w:r>
          </w:p>
        </w:tc>
        <w:tc>
          <w:tcPr/>
          <w:p>
            <w:r>
              <w:rPr/>
              <w:t xml:space="preserve">FA/MA perovskite</w:t>
            </w:r>
          </w:p>
        </w:tc>
        <w:tc>
          <w:tcPr/>
          <w:p>
            <w:r>
              <w:rPr/>
              <w:t xml:space="preserve">Photoactive absorber</w:t>
            </w:r>
          </w:p>
        </w:tc>
        <w:tc>
          <w:tcPr/>
          <w:p>
            <w:r>
              <w:rPr/>
              <w:t xml:space="preserve">540 nm</w:t>
            </w:r>
          </w:p>
        </w:tc>
        <w:tc>
          <w:tcPr/>
          <w:p>
            <w:r>
              <w:rPr/>
              <w:t xml:space="preserve">Anti-solvent</w:t>
            </w:r>
          </w:p>
        </w:tc>
      </w:tr>
      <w:tr>
        <w:tc>
          <w:tcPr/>
          <w:p>
            <w:r>
              <w:rPr/>
              <w:t xml:space="preserve">4</w:t>
            </w:r>
          </w:p>
        </w:tc>
        <w:tc>
          <w:tcPr/>
          <w:p>
            <w:r>
              <w:rPr/>
              <w:t xml:space="preserve">Spiro-OMeTAD</w:t>
            </w:r>
          </w:p>
        </w:tc>
        <w:tc>
          <w:tcPr/>
          <w:p>
            <w:r>
              <w:rPr/>
              <w:t xml:space="preserve">Hole transport</w:t>
            </w:r>
          </w:p>
        </w:tc>
        <w:tc>
          <w:tcPr/>
          <w:p>
            <w:r>
              <w:rPr/>
              <w:t xml:space="preserve">180 nm</w:t>
            </w:r>
          </w:p>
        </w:tc>
        <w:tc>
          <w:tcPr/>
          <w:p>
            <w:r>
              <w:rPr/>
              <w:t xml:space="preserve">Spin coat</w:t>
            </w:r>
          </w:p>
        </w:tc>
      </w:tr>
      <w:tr>
        <w:tc>
          <w:tcPr/>
          <w:p>
            <w:r>
              <w:rPr/>
              <w:t xml:space="preserve">5</w:t>
            </w:r>
          </w:p>
        </w:tc>
        <w:tc>
          <w:tcPr/>
          <w:p>
            <w:r>
              <w:rPr/>
              <w:t xml:space="preserve">Au</w:t>
            </w:r>
          </w:p>
        </w:tc>
        <w:tc>
          <w:tcPr/>
          <w:p>
            <w:r>
              <w:rPr/>
              <w:t xml:space="preserve">Back contact</w:t>
            </w:r>
          </w:p>
        </w:tc>
        <w:tc>
          <w:tcPr/>
          <w:p>
            <w:r>
              <w:rPr/>
              <w:t xml:space="preserve">80 nm</w:t>
            </w:r>
          </w:p>
        </w:tc>
        <w:tc>
          <w:tcPr/>
          <w:p>
            <w:r>
              <w:rPr/>
              <w:t xml:space="preserve">Evaporation</w:t>
            </w:r>
          </w:p>
        </w:tc>
      </w:tr>
    </w:tbl>
    <w:p>
      <w:pPr>
        <w:pStyle w:val="Heading1"/>
      </w:pPr>
      <w:r>
        <w:rPr/>
        <w:t xml:space="preserve">Methodology</w:t>
      </w:r>
    </w:p>
    <w:p>
      <w:pPr>
        <w:pStyle w:val="Heading2"/>
      </w:pPr>
      <w:r>
        <w:rPr/>
        <w:t xml:space="preserve">Method and processing notes</w:t>
      </w:r>
    </w:p>
    <w:sdt>
      <w:sdtPr>
        <w:alias w:val="Method and processing notes"/>
        <w:tag w:val="report.methodology"/>
        <w:text w:multiLine="1"/>
      </w:sdtPr>
      <w:sdtContent>
        <w:p>
          <w:pPr>
            <w:shd w:val="clear" w:color="auto" w:fill="FFF3D6"/>
            <w:spacing w:before="100" w:after="180"/>
            <w:ind w:left="120" w:right="120"/>
          </w:pPr>
          <w:r>
            <w:rPr/>
            <w:t xml:space="preserve">Versioned preparation, mapped JV data and deterministic comparison.</w:t>
          </w:r>
        </w:p>
      </w:sdtContent>
    </w:sdt>
    <w:p>
      <w:pPr>
        <w:pStyle w:val="Heading1"/>
      </w:pPr>
      <w:r>
        <w:rPr/>
        <w:t xml:space="preserve">Experiment Coverage</w:t>
      </w:r>
    </w:p>
    <w:tbl>
      <w:tblPr>
        <w:tblStyle w:val="TableGrid"/>
        <w:tblW w:w="0" w:type="auto"/>
      </w:tblPr>
      <w:tblGrid>
        <w:gridCol w:w="1200"/>
        <w:gridCol w:w="1200"/>
        <w:gridCol w:w="1200"/>
      </w:tblGrid>
      <w:tr>
        <w:tc>
          <w:tcPr>
            <w:shd w:val="clear" w:color="auto" w:fill="087F7B"/>
          </w:tcPr>
          <w:p>
            <w:r>
              <w:rPr>
                <w:b/>
                <w:color w:val="FFFFFF"/>
              </w:rPr>
              <w:t xml:space="preserve">Experiment</w:t>
            </w:r>
          </w:p>
        </w:tc>
        <w:tc>
          <w:tcPr>
            <w:shd w:val="clear" w:color="auto" w:fill="087F7B"/>
          </w:tcPr>
          <w:p>
            <w:r>
              <w:rPr>
                <w:b/>
                <w:color w:val="FFFFFF"/>
              </w:rPr>
              <w:t xml:space="preserve">Scope</w:t>
            </w:r>
          </w:p>
        </w:tc>
        <w:tc>
          <w:tcPr>
            <w:shd w:val="clear" w:color="auto" w:fill="087F7B"/>
          </w:tcPr>
          <w:p>
            <w:r>
              <w:rPr>
                <w:b/>
                <w:color w:val="FFFFFF"/>
              </w:rPr>
              <w:t xml:space="preserve">Evidence state</w:t>
            </w:r>
          </w:p>
        </w:tc>
      </w:tr>
      <w:tr>
        <w:tc>
          <w:tcPr/>
          <w:p>
            <w:r>
              <w:rPr/>
              <w:t xml:space="preserve">EXP-041</w:t>
            </w:r>
          </w:p>
        </w:tc>
        <w:tc>
          <w:tcPr/>
          <w:p>
            <w:r>
              <w:rPr/>
              <w:t xml:space="preserve">Reference formulation</w:t>
            </w:r>
          </w:p>
        </w:tc>
        <w:tc>
          <w:tcPr/>
          <w:p>
            <w:r>
              <w:rPr/>
              <w:t xml:space="preserve">Reviewed</w:t>
            </w:r>
          </w:p>
        </w:tc>
      </w:tr>
      <w:tr>
        <w:tc>
          <w:tcPr/>
          <w:p>
            <w:r>
              <w:rPr/>
              <w:t xml:space="preserve">EXP-052</w:t>
            </w:r>
          </w:p>
        </w:tc>
        <w:tc>
          <w:tcPr/>
          <w:p>
            <w:r>
              <w:rPr/>
              <w:t xml:space="preserve">DMSO comparison</w:t>
            </w:r>
          </w:p>
        </w:tc>
        <w:tc>
          <w:tcPr/>
          <w:p>
            <w:r>
              <w:rPr/>
              <w:t xml:space="preserve">Reviewed</w:t>
            </w:r>
          </w:p>
        </w:tc>
      </w:tr>
      <w:tr>
        <w:tc>
          <w:tcPr/>
          <w:p>
            <w:r>
              <w:rPr/>
              <w:t xml:space="preserve">EXP-067</w:t>
            </w:r>
          </w:p>
        </w:tc>
        <w:tc>
          <w:tcPr/>
          <w:p>
            <w:r>
              <w:rPr/>
              <w:t xml:space="preserve">Validation candidate</w:t>
            </w:r>
          </w:p>
        </w:tc>
        <w:tc>
          <w:tcPr/>
          <w:p>
            <w:r>
              <w:rPr/>
              <w:t xml:space="preserve">Metadata review</w:t>
            </w:r>
          </w:p>
        </w:tc>
      </w:tr>
    </w:tbl>
    <w:p>
      <w:r>
        <w:br w:type="page"/>
      </w:r>
    </w:p>
    <w:p>
      <w:pPr>
        <w:pStyle w:val="Heading1"/>
      </w:pPr>
      <w:r>
        <w:rPr/>
        <w:t xml:space="preserve">Results</w:t>
      </w:r>
    </w:p>
    <w:tbl>
      <w:tblPr>
        <w:tblStyle w:val="TableGrid"/>
        <w:tblW w:w="0" w:type="auto"/>
      </w:tblPr>
      <w:tblGrid>
        <w:gridCol w:w="1200"/>
        <w:gridCol w:w="1200"/>
        <w:gridCol w:w="1200"/>
        <w:gridCol w:w="1200"/>
        <w:gridCol w:w="1200"/>
        <w:gridCol w:w="1200"/>
        <w:gridCol w:w="1200"/>
        <w:gridCol w:w="1200"/>
        <w:gridCol w:w="1200"/>
      </w:tblGrid>
      <w:tr>
        <w:tc>
          <w:tcPr>
            <w:shd w:val="clear" w:color="auto" w:fill="087F7B"/>
          </w:tcPr>
          <w:p>
            <w:r>
              <w:rPr>
                <w:b/>
                <w:color w:val="FFFFFF"/>
              </w:rPr>
              <w:t xml:space="preserve">Sample</w:t>
            </w:r>
          </w:p>
        </w:tc>
        <w:tc>
          <w:tcPr>
            <w:shd w:val="clear" w:color="auto" w:fill="087F7B"/>
          </w:tcPr>
          <w:p>
            <w:r>
              <w:rPr>
                <w:b/>
                <w:color w:val="FFFFFF"/>
              </w:rPr>
              <w:t xml:space="preserve">Formulation</w:t>
            </w:r>
          </w:p>
        </w:tc>
        <w:tc>
          <w:tcPr>
            <w:shd w:val="clear" w:color="auto" w:fill="087F7B"/>
          </w:tcPr>
          <w:p>
            <w:r>
              <w:rPr>
                <w:b/>
                <w:color w:val="FFFFFF"/>
              </w:rPr>
              <w:t xml:space="preserve">Batch</w:t>
            </w:r>
          </w:p>
        </w:tc>
        <w:tc>
          <w:tcPr>
            <w:shd w:val="clear" w:color="auto" w:fill="087F7B"/>
          </w:tcPr>
          <w:p>
            <w:r>
              <w:rPr>
                <w:b/>
                <w:color w:val="FFFFFF"/>
              </w:rPr>
              <w:t xml:space="preserve">Voc (V)</w:t>
            </w:r>
          </w:p>
        </w:tc>
        <w:tc>
          <w:tcPr>
            <w:shd w:val="clear" w:color="auto" w:fill="087F7B"/>
          </w:tcPr>
          <w:p>
            <w:r>
              <w:rPr>
                <w:b/>
                <w:color w:val="FFFFFF"/>
              </w:rPr>
              <w:t xml:space="preserve">Jsc (mA/cm2)</w:t>
            </w:r>
          </w:p>
        </w:tc>
        <w:tc>
          <w:tcPr>
            <w:shd w:val="clear" w:color="auto" w:fill="087F7B"/>
          </w:tcPr>
          <w:p>
            <w:r>
              <w:rPr>
                <w:b/>
                <w:color w:val="FFFFFF"/>
              </w:rPr>
              <w:t xml:space="preserve">FF (%)</w:t>
            </w:r>
          </w:p>
        </w:tc>
        <w:tc>
          <w:tcPr>
            <w:shd w:val="clear" w:color="auto" w:fill="087F7B"/>
          </w:tcPr>
          <w:p>
            <w:r>
              <w:rPr>
                <w:b/>
                <w:color w:val="FFFFFF"/>
              </w:rPr>
              <w:t xml:space="preserve">PCE (%)</w:t>
            </w:r>
          </w:p>
        </w:tc>
        <w:tc>
          <w:tcPr>
            <w:shd w:val="clear" w:color="auto" w:fill="087F7B"/>
          </w:tcPr>
          <w:p>
            <w:r>
              <w:rPr>
                <w:b/>
                <w:color w:val="FFFFFF"/>
              </w:rPr>
              <w:t xml:space="preserve">Stability (%)</w:t>
            </w:r>
          </w:p>
        </w:tc>
        <w:tc>
          <w:tcPr>
            <w:shd w:val="clear" w:color="auto" w:fill="087F7B"/>
          </w:tcPr>
          <w:p>
            <w:r>
              <w:rPr>
                <w:b/>
                <w:color w:val="FFFFFF"/>
              </w:rPr>
              <w:t xml:space="preserve">Hysteresis (%)</w:t>
            </w:r>
          </w:p>
        </w:tc>
      </w:tr>
      <w:tr>
        <w:tc>
          <w:tcPr/>
          <w:p>
            <w:r>
              <w:rPr/>
              <w:t xml:space="preserve">S01</w:t>
            </w:r>
          </w:p>
        </w:tc>
        <w:tc>
          <w:tcPr/>
          <w:p>
            <w:r>
              <w:rPr/>
              <w:t xml:space="preserve">FA0.85MA0.15</w:t>
            </w:r>
          </w:p>
        </w:tc>
        <w:tc>
          <w:tcPr/>
          <w:p>
            <w:r>
              <w:rPr/>
              <w:t xml:space="preserve">B01</w:t>
            </w:r>
          </w:p>
        </w:tc>
        <w:tc>
          <w:tcPr/>
          <w:p>
            <w:r>
              <w:rPr/>
              <w:t xml:space="preserve">1.08</w:t>
            </w:r>
          </w:p>
        </w:tc>
        <w:tc>
          <w:tcPr/>
          <w:p>
            <w:r>
              <w:rPr/>
              <w:t xml:space="preserve">22.7</w:t>
            </w:r>
          </w:p>
        </w:tc>
        <w:tc>
          <w:tcPr/>
          <w:p>
            <w:r>
              <w:rPr/>
              <w:t xml:space="preserve">78.1</w:t>
            </w:r>
          </w:p>
        </w:tc>
        <w:tc>
          <w:tcPr/>
          <w:p>
            <w:r>
              <w:rPr/>
              <w:t xml:space="preserve">19.15</w:t>
            </w:r>
          </w:p>
        </w:tc>
        <w:tc>
          <w:tcPr/>
          <w:p>
            <w:r>
              <w:rPr/>
              <w:t xml:space="preserve">89</w:t>
            </w:r>
          </w:p>
        </w:tc>
        <w:tc>
          <w:tcPr/>
          <w:p>
            <w:r>
              <w:rPr/>
              <w:t xml:space="preserve">3.2</w:t>
            </w:r>
          </w:p>
        </w:tc>
      </w:tr>
      <w:tr>
        <w:tc>
          <w:tcPr/>
          <w:p>
            <w:r>
              <w:rPr/>
              <w:t xml:space="preserve">S02</w:t>
            </w:r>
          </w:p>
        </w:tc>
        <w:tc>
          <w:tcPr/>
          <w:p>
            <w:r>
              <w:rPr/>
              <w:t xml:space="preserve">FA0.85MA0.15</w:t>
            </w:r>
          </w:p>
        </w:tc>
        <w:tc>
          <w:tcPr/>
          <w:p>
            <w:r>
              <w:rPr/>
              <w:t xml:space="preserve">B01</w:t>
            </w:r>
          </w:p>
        </w:tc>
        <w:tc>
          <w:tcPr/>
          <w:p>
            <w:r>
              <w:rPr/>
              <w:t xml:space="preserve">1.1</w:t>
            </w:r>
          </w:p>
        </w:tc>
        <w:tc>
          <w:tcPr/>
          <w:p>
            <w:r>
              <w:rPr/>
              <w:t xml:space="preserve">23.2</w:t>
            </w:r>
          </w:p>
        </w:tc>
        <w:tc>
          <w:tcPr/>
          <w:p>
            <w:r>
              <w:rPr/>
              <w:t xml:space="preserve">79</w:t>
            </w:r>
          </w:p>
        </w:tc>
        <w:tc>
          <w:tcPr/>
          <w:p>
            <w:r>
              <w:rPr/>
              <w:t xml:space="preserve">20.16</w:t>
            </w:r>
          </w:p>
        </w:tc>
        <w:tc>
          <w:tcPr/>
          <w:p>
            <w:r>
              <w:rPr/>
              <w:t xml:space="preserve">91</w:t>
            </w:r>
          </w:p>
        </w:tc>
        <w:tc>
          <w:tcPr/>
          <w:p>
            <w:r>
              <w:rPr/>
              <w:t xml:space="preserve">2.8</w:t>
            </w:r>
          </w:p>
        </w:tc>
      </w:tr>
      <w:tr>
        <w:tc>
          <w:tcPr/>
          <w:p>
            <w:r>
              <w:rPr/>
              <w:t xml:space="preserve">S03</w:t>
            </w:r>
          </w:p>
        </w:tc>
        <w:tc>
          <w:tcPr/>
          <w:p>
            <w:r>
              <w:rPr/>
              <w:t xml:space="preserve">FA0.80MA0.20</w:t>
            </w:r>
          </w:p>
        </w:tc>
        <w:tc>
          <w:tcPr/>
          <w:p>
            <w:r>
              <w:rPr/>
              <w:t xml:space="preserve">B02</w:t>
            </w:r>
          </w:p>
        </w:tc>
        <w:tc>
          <w:tcPr/>
          <w:p>
            <w:r>
              <w:rPr/>
              <w:t xml:space="preserve">1.07</w:t>
            </w:r>
          </w:p>
        </w:tc>
        <w:tc>
          <w:tcPr/>
          <w:p>
            <w:r>
              <w:rPr/>
              <w:t xml:space="preserve">22.9</w:t>
            </w:r>
          </w:p>
        </w:tc>
        <w:tc>
          <w:tcPr/>
          <w:p>
            <w:r>
              <w:rPr/>
              <w:t xml:space="preserve">77.3</w:t>
            </w:r>
          </w:p>
        </w:tc>
        <w:tc>
          <w:tcPr/>
          <w:p>
            <w:r>
              <w:rPr/>
              <w:t xml:space="preserve">18.94</w:t>
            </w:r>
          </w:p>
        </w:tc>
        <w:tc>
          <w:tcPr/>
          <w:p>
            <w:r>
              <w:rPr/>
              <w:t xml:space="preserve">85</w:t>
            </w:r>
          </w:p>
        </w:tc>
        <w:tc>
          <w:tcPr/>
          <w:p>
            <w:r>
              <w:rPr/>
              <w:t xml:space="preserve">4.1</w:t>
            </w:r>
          </w:p>
        </w:tc>
      </w:tr>
      <w:tr>
        <w:tc>
          <w:tcPr/>
          <w:p>
            <w:r>
              <w:rPr/>
              <w:t xml:space="preserve">S04</w:t>
            </w:r>
          </w:p>
        </w:tc>
        <w:tc>
          <w:tcPr/>
          <w:p>
            <w:r>
              <w:rPr/>
              <w:t xml:space="preserve">FA0.90MA0.10</w:t>
            </w:r>
          </w:p>
        </w:tc>
        <w:tc>
          <w:tcPr/>
          <w:p>
            <w:r>
              <w:rPr/>
              <w:t xml:space="preserve">B03</w:t>
            </w:r>
          </w:p>
        </w:tc>
        <w:tc>
          <w:tcPr/>
          <w:p>
            <w:r>
              <w:rPr/>
              <w:t xml:space="preserve">1.12</w:t>
            </w:r>
          </w:p>
        </w:tc>
        <w:tc>
          <w:tcPr/>
          <w:p>
            <w:r>
              <w:rPr/>
              <w:t xml:space="preserve">23.5</w:t>
            </w:r>
          </w:p>
        </w:tc>
        <w:tc>
          <w:tcPr/>
          <w:p>
            <w:r>
              <w:rPr/>
              <w:t xml:space="preserve">80.2</w:t>
            </w:r>
          </w:p>
        </w:tc>
        <w:tc>
          <w:tcPr/>
          <w:p>
            <w:r>
              <w:rPr/>
              <w:t xml:space="preserve">21.1</w:t>
            </w:r>
          </w:p>
        </w:tc>
        <w:tc>
          <w:tcPr/>
          <w:p>
            <w:r>
              <w:rPr/>
              <w:t xml:space="preserve">94</w:t>
            </w:r>
          </w:p>
        </w:tc>
        <w:tc>
          <w:tcPr/>
          <w:p>
            <w:r>
              <w:rPr/>
              <w:t xml:space="preserve">2.1</w:t>
            </w:r>
          </w:p>
        </w:tc>
      </w:tr>
      <w:tr>
        <w:tc>
          <w:tcPr/>
          <w:p>
            <w:r>
              <w:rPr/>
              <w:t xml:space="preserve">S05</w:t>
            </w:r>
          </w:p>
        </w:tc>
        <w:tc>
          <w:tcPr/>
          <w:p>
            <w:r>
              <w:rPr/>
              <w:t xml:space="preserve">FA0.90MA0.10</w:t>
            </w:r>
          </w:p>
        </w:tc>
        <w:tc>
          <w:tcPr/>
          <w:p>
            <w:r>
              <w:rPr/>
              <w:t xml:space="preserve">B03</w:t>
            </w:r>
          </w:p>
        </w:tc>
        <w:tc>
          <w:tcPr/>
          <w:p>
            <w:r>
              <w:rPr/>
              <w:t xml:space="preserve">1.09</w:t>
            </w:r>
          </w:p>
        </w:tc>
        <w:tc>
          <w:tcPr/>
          <w:p>
            <w:r>
              <w:rPr/>
              <w:t xml:space="preserve">23</w:t>
            </w:r>
          </w:p>
        </w:tc>
        <w:tc>
          <w:tcPr/>
          <w:p>
            <w:r>
              <w:rPr/>
              <w:t xml:space="preserve">79.4</w:t>
            </w:r>
          </w:p>
        </w:tc>
        <w:tc>
          <w:tcPr/>
          <w:p>
            <w:r>
              <w:rPr/>
              <w:t xml:space="preserve">19.9</w:t>
            </w:r>
          </w:p>
        </w:tc>
        <w:tc>
          <w:tcPr/>
          <w:p>
            <w:r>
              <w:rPr/>
              <w:t xml:space="preserve">92</w:t>
            </w:r>
          </w:p>
        </w:tc>
        <w:tc>
          <w:tcPr/>
          <w:p>
            <w:r>
              <w:rPr/>
              <w:t xml:space="preserve">2.5</w:t>
            </w:r>
          </w:p>
        </w:tc>
      </w:tr>
      <w:tr>
        <w:tc>
          <w:tcPr/>
          <w:p>
            <w:r>
              <w:rPr/>
              <w:t xml:space="preserve">S06</w:t>
            </w:r>
          </w:p>
        </w:tc>
        <w:tc>
          <w:tcPr/>
          <w:p>
            <w:r>
              <w:rPr/>
              <w:t xml:space="preserve">FA0.75MA0.25</w:t>
            </w:r>
          </w:p>
        </w:tc>
        <w:tc>
          <w:tcPr/>
          <w:p>
            <w:r>
              <w:rPr/>
              <w:t xml:space="preserve">B04</w:t>
            </w:r>
          </w:p>
        </w:tc>
        <w:tc>
          <w:tcPr/>
          <w:p>
            <w:r>
              <w:rPr/>
              <w:t xml:space="preserve">1.05</w:t>
            </w:r>
          </w:p>
        </w:tc>
        <w:tc>
          <w:tcPr/>
          <w:p>
            <w:r>
              <w:rPr/>
              <w:t xml:space="preserve">21.8</w:t>
            </w:r>
          </w:p>
        </w:tc>
        <w:tc>
          <w:tcPr/>
          <w:p>
            <w:r>
              <w:rPr/>
              <w:t xml:space="preserve">75.8</w:t>
            </w:r>
          </w:p>
        </w:tc>
        <w:tc>
          <w:tcPr/>
          <w:p>
            <w:r>
              <w:rPr/>
              <w:t xml:space="preserve">17.36</w:t>
            </w:r>
          </w:p>
        </w:tc>
        <w:tc>
          <w:tcPr/>
          <w:p>
            <w:r>
              <w:rPr/>
              <w:t xml:space="preserve">78</w:t>
            </w:r>
          </w:p>
        </w:tc>
        <w:tc>
          <w:tcPr/>
          <w:p>
            <w:r>
              <w:rPr/>
              <w:t xml:space="preserve">5.9</w:t>
            </w:r>
          </w:p>
        </w:tc>
      </w:tr>
      <w:tr>
        <w:tc>
          <w:tcPr/>
          <w:p>
            <w:r>
              <w:rPr/>
              <w:t xml:space="preserve">S07</w:t>
            </w:r>
          </w:p>
        </w:tc>
        <w:tc>
          <w:tcPr/>
          <w:p>
            <w:r>
              <w:rPr/>
              <w:t xml:space="preserve">FA0.85MA0.15</w:t>
            </w:r>
          </w:p>
        </w:tc>
        <w:tc>
          <w:tcPr/>
          <w:p>
            <w:r>
              <w:rPr/>
              <w:t xml:space="preserve">B05</w:t>
            </w:r>
          </w:p>
        </w:tc>
        <w:tc>
          <w:tcPr/>
          <w:p>
            <w:r>
              <w:rPr/>
              <w:t xml:space="preserve">1.11</w:t>
            </w:r>
          </w:p>
        </w:tc>
        <w:tc>
          <w:tcPr/>
          <w:p>
            <w:r>
              <w:rPr/>
              <w:t xml:space="preserve">23.1</w:t>
            </w:r>
          </w:p>
        </w:tc>
        <w:tc>
          <w:tcPr/>
          <w:p>
            <w:r>
              <w:rPr/>
              <w:t xml:space="preserve">79.7</w:t>
            </w:r>
          </w:p>
        </w:tc>
        <w:tc>
          <w:tcPr/>
          <w:p>
            <w:r>
              <w:rPr/>
              <w:t xml:space="preserve">20.44</w:t>
            </w:r>
          </w:p>
        </w:tc>
        <w:tc>
          <w:tcPr/>
          <w:p>
            <w:r>
              <w:rPr/>
              <w:t xml:space="preserve">90</w:t>
            </w:r>
          </w:p>
        </w:tc>
        <w:tc>
          <w:tcPr/>
          <w:p>
            <w:r>
              <w:rPr/>
              <w:t xml:space="preserve">2.7</w:t>
            </w:r>
          </w:p>
        </w:tc>
      </w:tr>
      <w:tr>
        <w:tc>
          <w:tcPr/>
          <w:p>
            <w:r>
              <w:rPr/>
              <w:t xml:space="preserve">S08</w:t>
            </w:r>
          </w:p>
        </w:tc>
        <w:tc>
          <w:tcPr/>
          <w:p>
            <w:r>
              <w:rPr/>
              <w:t xml:space="preserve">FA0.90MA0.10</w:t>
            </w:r>
          </w:p>
        </w:tc>
        <w:tc>
          <w:tcPr/>
          <w:p>
            <w:r>
              <w:rPr/>
              <w:t xml:space="preserve">B06</w:t>
            </w:r>
          </w:p>
        </w:tc>
        <w:tc>
          <w:tcPr/>
          <w:p>
            <w:r>
              <w:rPr/>
              <w:t xml:space="preserve">1.13</w:t>
            </w:r>
          </w:p>
        </w:tc>
        <w:tc>
          <w:tcPr/>
          <w:p>
            <w:r>
              <w:rPr/>
              <w:t xml:space="preserve">23.4</w:t>
            </w:r>
          </w:p>
        </w:tc>
        <w:tc>
          <w:tcPr/>
          <w:p>
            <w:r>
              <w:rPr/>
              <w:t xml:space="preserve">80.5</w:t>
            </w:r>
          </w:p>
        </w:tc>
        <w:tc>
          <w:tcPr/>
          <w:p>
            <w:r>
              <w:rPr/>
              <w:t xml:space="preserve">21.28</w:t>
            </w:r>
          </w:p>
        </w:tc>
        <w:tc>
          <w:tcPr/>
          <w:p>
            <w:r>
              <w:rPr/>
              <w:t xml:space="preserve">95</w:t>
            </w:r>
          </w:p>
        </w:tc>
        <w:tc>
          <w:tcPr/>
          <w:p>
            <w:r>
              <w:rPr/>
              <w:t xml:space="preserve">1.9</w:t>
            </w:r>
          </w:p>
        </w:tc>
      </w:tr>
    </w:tbl>
    <w:p>
      <w:pPr>
        <w:pStyle w:val="Heading2"/>
      </w:pPr>
      <w:r>
        <w:rPr/>
        <w:t xml:space="preserve">Result Interpretation Boundary</w:t>
      </w:r>
    </w:p>
    <w:p>
      <w:pPr>
        <w:pStyle w:val="BodyText"/>
      </w:pPr>
      <w:r>
        <w:rPr/>
        <w:t xml:space="preserve">S08 is the export-time leader at 21.28% PCE. Raw rows remain present; no candidate is silently excluded.</w:t>
      </w:r>
    </w:p>
    <w:p>
      <w:pPr>
        <w:pStyle w:val="Heading1"/>
      </w:pPr>
      <w:r>
        <w:rPr/>
        <w:t xml:space="preserve">AI-Assisted Findings (Simulated)</w:t>
      </w:r>
    </w:p>
    <w:p>
      <w:pPr>
        <w:pStyle w:val="BodyText"/>
      </w:pPr>
      <w:r>
        <w:rPr/>
        <w:t xml:space="preserve">Advisory findings remain separate from editable researcher conclusions and retain evidence and review status.</w:t>
      </w:r>
    </w:p>
    <w:tbl>
      <w:tblPr>
        <w:tblStyle w:val="TableGrid"/>
        <w:tblW w:w="0" w:type="auto"/>
      </w:tblPr>
      <w:tblGrid>
        <w:gridCol w:w="1200"/>
        <w:gridCol w:w="1200"/>
        <w:gridCol w:w="1200"/>
        <w:gridCol w:w="1200"/>
        <w:gridCol w:w="1200"/>
        <w:gridCol w:w="1200"/>
      </w:tblGrid>
      <w:tr>
        <w:tc>
          <w:tcPr>
            <w:shd w:val="clear" w:color="auto" w:fill="087F7B"/>
          </w:tcPr>
          <w:p>
            <w:r>
              <w:rPr>
                <w:b/>
                <w:color w:val="FFFFFF"/>
              </w:rPr>
              <w:t xml:space="preserve">Score</w:t>
            </w:r>
          </w:p>
        </w:tc>
        <w:tc>
          <w:tcPr>
            <w:shd w:val="clear" w:color="auto" w:fill="087F7B"/>
          </w:tcPr>
          <w:p>
            <w:r>
              <w:rPr>
                <w:b/>
                <w:color w:val="FFFFFF"/>
              </w:rPr>
              <w:t xml:space="preserve">Finding</w:t>
            </w:r>
          </w:p>
        </w:tc>
        <w:tc>
          <w:tcPr>
            <w:shd w:val="clear" w:color="auto" w:fill="087F7B"/>
          </w:tcPr>
          <w:p>
            <w:r>
              <w:rPr>
                <w:b/>
                <w:color w:val="FFFFFF"/>
              </w:rPr>
              <w:t xml:space="preserve">Detail</w:t>
            </w:r>
          </w:p>
        </w:tc>
        <w:tc>
          <w:tcPr>
            <w:shd w:val="clear" w:color="auto" w:fill="087F7B"/>
          </w:tcPr>
          <w:p>
            <w:r>
              <w:rPr>
                <w:b/>
                <w:color w:val="FFFFFF"/>
              </w:rPr>
              <w:t xml:space="preserve">Evidence</w:t>
            </w:r>
          </w:p>
        </w:tc>
        <w:tc>
          <w:tcPr>
            <w:shd w:val="clear" w:color="auto" w:fill="087F7B"/>
          </w:tcPr>
          <w:p>
            <w:r>
              <w:rPr>
                <w:b/>
                <w:color w:val="FFFFFF"/>
              </w:rPr>
              <w:t xml:space="preserve">Status</w:t>
            </w:r>
          </w:p>
        </w:tc>
        <w:tc>
          <w:tcPr>
            <w:shd w:val="clear" w:color="auto" w:fill="087F7B"/>
          </w:tcPr>
          <w:p>
            <w:r>
              <w:rPr>
                <w:b/>
                <w:color w:val="FFFFFF"/>
              </w:rPr>
              <w:t xml:space="preserve">Origin</w:t>
            </w:r>
          </w:p>
        </w:tc>
      </w:tr>
      <w:tr>
        <w:tc>
          <w:tcPr/>
          <w:p>
            <w:r>
              <w:rPr/>
              <w:t xml:space="preserve">96</w:t>
            </w:r>
          </w:p>
        </w:tc>
        <w:tc>
          <w:tcPr/>
          <w:p>
            <w:r>
              <w:rPr/>
              <w:t xml:space="preserve">FA0.90MA0.10 is the strongest candidate</w:t>
            </w:r>
          </w:p>
        </w:tc>
        <w:tc>
          <w:tcPr/>
          <w:p>
            <w:r>
              <w:rPr/>
              <w:t xml:space="preserve">S04 and S08 lead both PCE and stability, with the lowest hysteresis.</w:t>
            </w:r>
          </w:p>
        </w:tc>
        <w:tc>
          <w:tcPr/>
          <w:p>
            <w:r>
              <w:rPr/>
              <w:t xml:space="preserve">S04, S08 · 7 metrics</w:t>
            </w:r>
          </w:p>
        </w:tc>
        <w:tc>
          <w:tcPr/>
          <w:p>
            <w:r>
              <w:rPr/>
              <w:t xml:space="preserve">accepted</w:t>
            </w:r>
          </w:p>
        </w:tc>
        <w:tc>
          <w:tcPr/>
          <w:p>
            <w:r>
              <w:rPr/>
              <w:t xml:space="preserve">Simulated AI</w:t>
            </w:r>
          </w:p>
        </w:tc>
      </w:tr>
      <w:tr>
        <w:tc>
          <w:tcPr/>
          <w:p>
            <w:r>
              <w:rPr/>
              <w:t xml:space="preserve">91</w:t>
            </w:r>
          </w:p>
        </w:tc>
        <w:tc>
          <w:tcPr/>
          <w:p>
            <w:r>
              <w:rPr/>
              <w:t xml:space="preserve">S06 is a multi-metric outlier</w:t>
            </w:r>
          </w:p>
        </w:tc>
        <w:tc>
          <w:tcPr/>
          <w:p>
            <w:r>
              <w:rPr/>
              <w:t xml:space="preserve">PCE, fill factor and stability are jointly below the robust cohort range; review fabrication notes before exclusion.</w:t>
            </w:r>
          </w:p>
        </w:tc>
        <w:tc>
          <w:tcPr/>
          <w:p>
            <w:r>
              <w:rPr/>
              <w:t xml:space="preserve">S06 · IQR + robust z</w:t>
            </w:r>
          </w:p>
        </w:tc>
        <w:tc>
          <w:tcPr/>
          <w:p>
            <w:r>
              <w:rPr/>
              <w:t xml:space="preserve">review</w:t>
            </w:r>
          </w:p>
        </w:tc>
        <w:tc>
          <w:tcPr/>
          <w:p>
            <w:r>
              <w:rPr/>
              <w:t xml:space="preserve">Simulated AI</w:t>
            </w:r>
          </w:p>
        </w:tc>
      </w:tr>
      <w:tr>
        <w:tc>
          <w:tcPr/>
          <w:p>
            <w:r>
              <w:rPr/>
              <w:t xml:space="preserve">88</w:t>
            </w:r>
          </w:p>
        </w:tc>
        <w:tc>
          <w:tcPr/>
          <w:p>
            <w:r>
              <w:rPr/>
              <w:t xml:space="preserve">Batch effect is smaller than formulation effect</w:t>
            </w:r>
          </w:p>
        </w:tc>
        <w:tc>
          <w:tcPr/>
          <w:p>
            <w:r>
              <w:rPr/>
              <w:t xml:space="preserve">Within-batch variation is limited compared with the shift between formulations.</w:t>
            </w:r>
          </w:p>
        </w:tc>
        <w:tc>
          <w:tcPr/>
          <w:p>
            <w:r>
              <w:rPr/>
              <w:t xml:space="preserve">Grouped comparison</w:t>
            </w:r>
          </w:p>
        </w:tc>
        <w:tc>
          <w:tcPr/>
          <w:p>
            <w:r>
              <w:rPr/>
              <w:t xml:space="preserve">accepted</w:t>
            </w:r>
          </w:p>
        </w:tc>
        <w:tc>
          <w:tcPr/>
          <w:p>
            <w:r>
              <w:rPr/>
              <w:t xml:space="preserve">Simulated AI</w:t>
            </w:r>
          </w:p>
        </w:tc>
      </w:tr>
      <w:tr>
        <w:tc>
          <w:tcPr/>
          <w:p>
            <w:r>
              <w:rPr/>
              <w:t xml:space="preserve">84</w:t>
            </w:r>
          </w:p>
        </w:tc>
        <w:tc>
          <w:tcPr/>
          <w:p>
            <w:r>
              <w:rPr/>
              <w:t xml:space="preserve">Stability and hysteresis are inversely associated</w:t>
            </w:r>
          </w:p>
        </w:tc>
        <w:tc>
          <w:tcPr/>
          <w:p>
            <w:r>
              <w:rPr/>
              <w:t xml:space="preserve">Lower hysteresis appears in the most stable devices; the sample count does not support a causal claim.</w:t>
            </w:r>
          </w:p>
        </w:tc>
        <w:tc>
          <w:tcPr/>
          <w:p>
            <w:r>
              <w:rPr/>
              <w:t xml:space="preserve">Spearman preview</w:t>
            </w:r>
          </w:p>
        </w:tc>
        <w:tc>
          <w:tcPr/>
          <w:p>
            <w:r>
              <w:rPr/>
              <w:t xml:space="preserve">review</w:t>
            </w:r>
          </w:p>
        </w:tc>
        <w:tc>
          <w:tcPr/>
          <w:p>
            <w:r>
              <w:rPr/>
              <w:t xml:space="preserve">Simulated AI</w:t>
            </w:r>
          </w:p>
        </w:tc>
      </w:tr>
      <w:tr>
        <w:tc>
          <w:tcPr/>
          <w:p>
            <w:r>
              <w:rPr/>
              <w:t xml:space="preserve">78</w:t>
            </w:r>
          </w:p>
        </w:tc>
        <w:tc>
          <w:tcPr/>
          <w:p>
            <w:r>
              <w:rPr/>
              <w:t xml:space="preserve">Two metadata gaps limit reproducibility</w:t>
            </w:r>
          </w:p>
        </w:tc>
        <w:tc>
          <w:tcPr/>
          <w:p>
            <w:r>
              <w:rPr/>
              <w:t xml:space="preserve">Humidity during coating and elapsed time before annealing are missing for B04 and B05.</w:t>
            </w:r>
          </w:p>
        </w:tc>
        <w:tc>
          <w:tcPr/>
          <w:p>
            <w:r>
              <w:rPr/>
              <w:t xml:space="preserve">Process records</w:t>
            </w:r>
          </w:p>
        </w:tc>
        <w:tc>
          <w:tcPr/>
          <w:p>
            <w:r>
              <w:rPr/>
              <w:t xml:space="preserve">action</w:t>
            </w:r>
          </w:p>
        </w:tc>
        <w:tc>
          <w:tcPr/>
          <w:p>
            <w:r>
              <w:rPr/>
              <w:t xml:space="preserve">Simulated AI</w:t>
            </w:r>
          </w:p>
        </w:tc>
      </w:tr>
    </w:tbl>
    <w:p>
      <w:pPr>
        <w:pStyle w:val="Heading1"/>
      </w:pPr>
      <w:r>
        <w:rPr/>
        <w:t xml:space="preserve">Researcher Review</w:t>
      </w:r>
    </w:p>
    <w:p>
      <w:pPr>
        <w:pStyle w:val="Heading2"/>
      </w:pPr>
      <w:r>
        <w:rPr/>
        <w:t xml:space="preserve">Researcher conclusions</w:t>
      </w:r>
    </w:p>
    <w:sdt>
      <w:sdtPr>
        <w:alias w:val="Researcher conclusions"/>
        <w:tag w:val="report.conclusions"/>
        <w:text w:multiLine="1"/>
      </w:sdtPr>
      <w:sdtContent>
        <w:p>
          <w:pPr>
            <w:shd w:val="clear" w:color="auto" w:fill="FFF3D6"/>
            <w:spacing w:before="100" w:after="180"/>
            <w:ind w:left="120" w:right="120"/>
          </w:pPr>
          <w:r>
            <w:rPr/>
            <w:t xml:space="preserve">S04 and S08 proceed to validation; S06 remains under review.</w:t>
          </w:r>
        </w:p>
      </w:sdtContent>
    </w:sdt>
    <w:p>
      <w:pPr>
        <w:pStyle w:val="Heading2"/>
      </w:pPr>
      <w:r>
        <w:rPr/>
        <w:t xml:space="preserve">Limitations</w:t>
      </w:r>
    </w:p>
    <w:sdt>
      <w:sdtPr>
        <w:alias w:val="Limitations"/>
        <w:tag w:val="report.limitations"/>
        <w:text w:multiLine="1"/>
      </w:sdtPr>
      <w:sdtContent>
        <w:p>
          <w:pPr>
            <w:shd w:val="clear" w:color="auto" w:fill="FFF3D6"/>
            <w:spacing w:before="100" w:after="180"/>
            <w:ind w:left="120" w:right="120"/>
          </w:pPr>
          <w:r>
            <w:rPr/>
            <w:t xml:space="preserve">Small demonstration cohort; no causal inference.</w:t>
          </w:r>
        </w:p>
      </w:sdtContent>
    </w:sdt>
    <w:p>
      <w:pPr>
        <w:pStyle w:val="Heading1"/>
      </w:pPr>
      <w:r>
        <w:rPr/>
        <w:t xml:space="preserve">Provenance &amp; Approval</w:t>
      </w:r>
    </w:p>
    <w:tbl>
      <w:tblPr>
        <w:tblStyle w:val="TableGrid"/>
        <w:tblW w:w="0" w:type="auto"/>
      </w:tblPr>
      <w:tblGrid>
        <w:gridCol w:w="1200"/>
        <w:gridCol w:w="1200"/>
        <w:gridCol w:w="1200"/>
      </w:tblGrid>
      <w:tr>
        <w:tc>
          <w:tcPr>
            <w:shd w:val="clear" w:color="auto" w:fill="087F7B"/>
          </w:tcPr>
          <w:p>
            <w:r>
              <w:rPr>
                <w:b/>
                <w:color w:val="FFFFFF"/>
              </w:rPr>
              <w:t xml:space="preserve">Evidence class</w:t>
            </w:r>
          </w:p>
        </w:tc>
        <w:tc>
          <w:tcPr>
            <w:shd w:val="clear" w:color="auto" w:fill="087F7B"/>
          </w:tcPr>
          <w:p>
            <w:r>
              <w:rPr>
                <w:b/>
                <w:color w:val="FFFFFF"/>
              </w:rPr>
              <w:t xml:space="preserve">Origin</w:t>
            </w:r>
          </w:p>
        </w:tc>
        <w:tc>
          <w:tcPr>
            <w:shd w:val="clear" w:color="auto" w:fill="087F7B"/>
          </w:tcPr>
          <w:p>
            <w:r>
              <w:rPr>
                <w:b/>
                <w:color w:val="FFFFFF"/>
              </w:rPr>
              <w:t xml:space="preserve">Control</w:t>
            </w:r>
          </w:p>
        </w:tc>
      </w:tr>
      <w:tr>
        <w:tc>
          <w:tcPr/>
          <w:p>
            <w:r>
              <w:rPr/>
              <w:t xml:space="preserve">Raw data</w:t>
            </w:r>
          </w:p>
        </w:tc>
        <w:tc>
          <w:tcPr/>
          <w:p>
            <w:r>
              <w:rPr/>
              <w:t xml:space="preserve">Local measurement files</w:t>
            </w:r>
          </w:p>
        </w:tc>
        <w:tc>
          <w:tcPr/>
          <w:p>
            <w:r>
              <w:rPr/>
              <w:t xml:space="preserve">Preserved</w:t>
            </w:r>
          </w:p>
        </w:tc>
      </w:tr>
      <w:tr>
        <w:tc>
          <w:tcPr/>
          <w:p>
            <w:r>
              <w:rPr/>
              <w:t xml:space="preserve">Calculated</w:t>
            </w:r>
          </w:p>
        </w:tc>
        <w:tc>
          <w:tcPr/>
          <w:p>
            <w:r>
              <w:rPr/>
              <w:t xml:space="preserve">Deterministic transformations</w:t>
            </w:r>
          </w:p>
        </w:tc>
        <w:tc>
          <w:tcPr/>
          <w:p>
            <w:r>
              <w:rPr/>
              <w:t xml:space="preserve">Reproducible</w:t>
            </w:r>
          </w:p>
        </w:tc>
      </w:tr>
      <w:tr>
        <w:tc>
          <w:tcPr/>
          <w:p>
            <w:r>
              <w:rPr/>
              <w:t xml:space="preserve">AI</w:t>
            </w:r>
          </w:p>
        </w:tc>
        <w:tc>
          <w:tcPr/>
          <w:p>
            <w:r>
              <w:rPr/>
              <w:t xml:space="preserve">Local demonstration rules</w:t>
            </w:r>
          </w:p>
        </w:tc>
        <w:tc>
          <w:tcPr/>
          <w:p>
            <w:r>
              <w:rPr/>
              <w:t xml:space="preserve">Researcher review</w:t>
            </w:r>
          </w:p>
        </w:tc>
      </w:tr>
      <w:tr>
        <w:tc>
          <w:tcPr/>
          <w:p>
            <w:r>
              <w:rPr/>
              <w:t xml:space="preserve">Conclusion</w:t>
            </w:r>
          </w:p>
        </w:tc>
        <w:tc>
          <w:tcPr/>
          <w:p>
            <w:r>
              <w:rPr/>
              <w:t xml:space="preserve">Researcher-authored</w:t>
            </w:r>
          </w:p>
        </w:tc>
        <w:tc>
          <w:tcPr/>
          <w:p>
            <w:r>
              <w:rPr/>
              <w:t xml:space="preserve">Approval required</w:t>
            </w:r>
          </w:p>
        </w:tc>
      </w:tr>
    </w:tbl>
    <w:p>
      <w:pPr>
        <w:pStyle w:val="Heading2"/>
      </w:pPr>
      <w:r>
        <w:rPr/>
        <w:t xml:space="preserve">Approval / signature state</w:t>
      </w:r>
    </w:p>
    <w:sdt>
      <w:sdtPr>
        <w:alias w:val="Approval / signature state"/>
        <w:tag w:val="report.approval"/>
        <w:text w:multiLine="1"/>
      </w:sdtPr>
      <w:sdtContent>
        <w:p>
          <w:pPr>
            <w:shd w:val="clear" w:color="auto" w:fill="FFF3D6"/>
            <w:spacing w:before="100" w:after="180"/>
            <w:ind w:left="120" w:right="120"/>
          </w:pPr>
          <w:r>
            <w:rPr/>
            <w:t xml:space="preserve">Pending researcher signature</w:t>
          </w:r>
        </w:p>
      </w:sdtContent>
    </w:sdt>
    <w:sectPr>
      <w:headerReference w:type="default" r:id="rId2"/>
      <w:footerReference w:type="default" r:id="rId3"/>
      <w:pgSz w:w="11906" w:h="16838"/>
      <w:pgMar w:top="900" w:right="900" w:bottom="900" w:left="900" w:header="450" w:footer="450" w:gutter="0"/>
    </w:sectPr>
  </w:body>
</w:document>
</file>

<file path=word/footer1.xml><?xml version="1.0" encoding="utf-8"?>
<w:ftr xmlns:w="http://schemas.openxmlformats.org/wordprocessingml/2006/main">
  <w:p>
    <w:r>
      <w:rPr/>
      <w:t xml:space="preserve">Editable working document · </w:t>
    </w:r>
    <w:r>
      <w:fldChar w:fldCharType="begin"/>
    </w:r>
    <w:r>
      <w:instrText> PAGE </w:instrText>
    </w:r>
    <w:r>
      <w:fldChar w:fldCharType="end"/>
    </w:r>
  </w:p>
</w:ftr>
</file>

<file path=word/header1.xml><?xml version="1.0" encoding="utf-8"?>
<w:hdr xmlns:w="http://schemas.openxmlformats.org/wordprocessingml/2006/main">
  <w:p>
    <w:r>
      <w:rPr>
        <w:b/>
        <w:color w:val="087F7B"/>
      </w:rPr>
      <w:t xml:space="preserve">LabFlow · PRJ-2026-014</w:t>
    </w:r>
  </w:p>
</w:hd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/>
        <w:sz w:val="20"/>
        <w:color w:val="273448"/>
      </w:rPr>
    </w:rPrDefault>
  </w:docDefaults>
  <w:style w:type="paragraph" w:default="1" w:styleId="Normal">
    <w:name w:val="Normal"/>
  </w:style>
  <w:style w:type="paragraph" w:styleId="BodyText">
    <w:name w:val="Body Text"/>
    <w:basedOn w:val="Normal"/>
    <w:pPr>
      <w:spacing w:after="120"/>
    </w:pPr>
  </w:style>
  <w:style w:type="paragraph" w:styleId="Title">
    <w:name w:val="Title"/>
    <w:rPr>
      <w:b/>
      <w:color w:val="0D2828"/>
      <w:sz w:val="40"/>
    </w:rPr>
  </w:style>
  <w:style w:type="paragraph" w:styleId="Subtitle">
    <w:name w:val="Subtitle"/>
    <w:rPr>
      <w:color w:val="087F7B"/>
      <w:sz w:val="24"/>
    </w:rPr>
  </w:style>
  <w:style w:type="paragraph" w:styleId="Heading1">
    <w:name w:val="Heading 1"/>
    <w:pPr>
      <w:keepNext/>
      <w:outlineLvl w:val="0"/>
    </w:pPr>
    <w:rPr>
      <w:b/>
      <w:color w:val="087F7B"/>
      <w:sz w:val="30"/>
    </w:rPr>
  </w:style>
  <w:style w:type="paragraph" w:styleId="Heading2">
    <w:name w:val="Heading 2"/>
    <w:pPr>
      <w:keepNext/>
      <w:outlineLvl w:val="1"/>
    </w:pPr>
    <w:rPr>
      <w:b/>
      <w:color w:val="0D2828"/>
      <w:sz w:val="24"/>
    </w:rPr>
  </w:style>
</w:styles>
</file>

<file path=word/_rels/document.xml.rels><?xml version="1.0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>
  <Application>LabFlow</Application>
  <Company>CHOSE — Centre for Hybrid and Organic Solar Energy</Company>
</Properties>
</file>

<file path=docProps/core.xml><?xml version="1.0" encoding="utf-8"?>
<cp:coreProperties xmlns:cp="http://schemas.openxmlformats.org/package/2006/metadata/core-properties" xmlns:dc="http://purl.org/dc/elements/1.1/">
  <dc:title>Mixed-Cation Validation Report</dc:title>
  <dc:creator>Matteo Ginesi</dc:creator>
  <dc:subject>LabFlow scientific report</dc:subject>
  <dc:description>Editable project report with structured researcher fields.</dc:description>
</cp:coreProperties>
</file>