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t xml:space="preserve">Term</w:t>
      </w:r>
    </w:p>
    <w:p>
      <w:r>
        <w:t xml:space="preserve">T</w:t>
      </w:r>
      <w:r>
        <w:t xml:space="preserve">his Agreement will govern the relationship for a period from the Start Date to the End (the Term). ACME may terminate this Agreement with immediate effect at any time during the Term by notice in writing. ACME will not be responsible to the Supplier for any costs which the Supplier may suffer as a result of the termination</w:t>
      </w:r>
      <w:r>
        <w:t xml:space="preserve">.</w:t>
      </w:r>
    </w:p>
    <w:p>
      <w:pPr>
        <w:pStyle w:val="Heading2"/>
      </w:pPr>
      <w:r>
        <w:t xml:space="preserve">Volume</w:t>
      </w:r>
    </w:p>
    <w:p>
      <w:r>
        <w:t xml:space="preserve">Closing paragraph that stays.</w:t>
      </w:r>
    </w:p>
    <w:sectPr/>
  </w:body>
</w:document>
</file>

<file path=word/_rels/document.xml.rels><?xml version="1.0" encoding="UTF-8"?><Relationships xmlns="http://schemas.openxmlformats.org/package/2006/relationships"></Relationships>
</file>