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A6F60"/>
          <w:spacing w:val="30"/>
          <w:sz w:val="18"/>
          <w:szCs w:val="18"/>
        </w:rPr>
        <w:t xml:space="preserve">БРИФ ДЛЯ CLAUDE DESIGN</w:t>
      </w:r>
    </w:p>
    <w:p>
      <w:pPr>
        <w:pStyle w:val="Heading1"/>
        <w:spacing w:after="60" w:before="0"/>
      </w:pPr>
      <w:r>
        <w:t xml:space="preserve">Урок «Почему семёрка выигрывает гонку?» — выгрузка на сайт</w:t>
      </w:r>
    </w:p>
    <w:p>
      <w:pPr>
        <w:spacing w:after="200" w:before="0" w:line="288"/>
      </w:pPr>
      <w:r>
        <w:rPr>
          <w:i/>
          <w:iCs/>
          <w:color w:val="7A6F60"/>
          <w:sz w:val="20"/>
          <w:szCs w:val="20"/>
        </w:rPr>
        <w:t xml:space="preserve">Опубликовать урок-исследование (вероятность, 2 класс) в библиотеке конспектов и подключить его печатные и экранные материалы. Изменения только в konspekty.jsx; файлы — в приложенном пакете site_dicerace.</w:t>
      </w:r>
    </w:p>
    <w:p>
      <w:pPr>
        <w:pStyle w:val="Heading2"/>
      </w:pPr>
      <w:r>
        <w:t xml:space="preserve">Что в пакете (приложенные файлы)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</w:rPr>
        <w:t xml:space="preserve">pdf/dicerace.pdf</w:t>
      </w:r>
      <w:r>
        <w:t xml:space="preserve"> — конспект для скачивания (14 стр.).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</w:rPr>
        <w:t xml:space="preserve">materials/</w:t>
      </w:r>
      <w:r>
        <w:t xml:space="preserve"> — field-a3.html, cars.html, timer.html, letters.html, intro.html, result.html, open-lesson.pdf.</w:t>
      </w:r>
    </w:p>
    <w:p>
      <w:pPr>
        <w:pStyle w:val="Heading2"/>
      </w:pPr>
      <w:r>
        <w:t xml:space="preserve">Шаг 1 — разложить файлы в репозитории</w:t>
      </w:r>
    </w:p>
    <w:p>
      <w:pPr>
        <w:pStyle w:val="ListParagraph"/>
        <w:numPr>
          <w:ilvl w:val="0"/>
          <w:numId w:val="3"/>
        </w:numPr>
        <w:spacing w:after="80" w:line="282"/>
      </w:pPr>
      <w:r>
        <w:t xml:space="preserve">Положить </w:t>
      </w:r>
      <w:r>
        <w:rPr>
          <w:rFonts w:ascii="Consolas" w:cs="Consolas" w:eastAsia="Consolas" w:hAnsi="Consolas"/>
          <w:sz w:val="18"/>
          <w:szCs w:val="18"/>
        </w:rPr>
        <w:t xml:space="preserve">pdf/dicerace.pdf</w:t>
      </w:r>
      <w:r>
        <w:t xml:space="preserve"> → в </w:t>
      </w:r>
      <w:r>
        <w:rPr>
          <w:rFonts w:ascii="Consolas" w:cs="Consolas" w:eastAsia="Consolas" w:hAnsi="Consolas"/>
          <w:sz w:val="18"/>
          <w:szCs w:val="18"/>
        </w:rPr>
        <w:t xml:space="preserve">konspekty/pdf/dicerace.pdf</w:t>
      </w:r>
      <w:r>
        <w:t xml:space="preserve"> (PDF подхватывается по этому пути автоматически).</w:t>
      </w:r>
    </w:p>
    <w:p>
      <w:pPr>
        <w:pStyle w:val="ListParagraph"/>
        <w:numPr>
          <w:ilvl w:val="0"/>
          <w:numId w:val="3"/>
        </w:numPr>
        <w:spacing w:after="80" w:line="282"/>
      </w:pPr>
      <w:r>
        <w:t xml:space="preserve">Создать папку </w:t>
      </w:r>
      <w:r>
        <w:rPr>
          <w:rFonts w:ascii="Consolas" w:cs="Consolas" w:eastAsia="Consolas" w:hAnsi="Consolas"/>
          <w:sz w:val="18"/>
          <w:szCs w:val="18"/>
        </w:rPr>
        <w:t xml:space="preserve">konspekty/materials/dicerace/</w:t>
      </w:r>
      <w:r>
        <w:t xml:space="preserve"> и положить туда все 7 файлов из </w:t>
      </w:r>
      <w:r>
        <w:rPr>
          <w:rFonts w:ascii="Consolas" w:cs="Consolas" w:eastAsia="Consolas" w:hAnsi="Consolas"/>
          <w:sz w:val="18"/>
          <w:szCs w:val="18"/>
        </w:rPr>
        <w:t xml:space="preserve">materials/</w:t>
      </w:r>
      <w:r>
        <w:t xml:space="preserve"> (имена не менять).</w:t>
      </w:r>
    </w:p>
    <w:p>
      <w:pPr>
        <w:pStyle w:val="Heading2"/>
      </w:pPr>
      <w:r>
        <w:t xml:space="preserve">Шаг 2 — добавить запись в массив KONSPEKTY</w:t>
      </w:r>
    </w:p>
    <w:p>
      <w:pPr>
        <w:spacing w:after="120" w:before="0" w:line="288"/>
      </w:pPr>
      <w:r>
        <w:t xml:space="preserve">В </w:t>
      </w:r>
      <w:r>
        <w:rPr>
          <w:rFonts w:ascii="Consolas" w:cs="Consolas" w:eastAsia="Consolas" w:hAnsi="Consolas"/>
          <w:sz w:val="18"/>
          <w:szCs w:val="18"/>
        </w:rPr>
        <w:t xml:space="preserve">konspekty.jsx</w:t>
      </w:r>
      <w:r>
        <w:t xml:space="preserve">, в массив </w:t>
      </w:r>
      <w:r>
        <w:rPr>
          <w:rFonts w:ascii="Consolas" w:cs="Consolas" w:eastAsia="Consolas" w:hAnsi="Consolas"/>
          <w:sz w:val="18"/>
          <w:szCs w:val="18"/>
        </w:rPr>
        <w:t xml:space="preserve">const KONSPEKTY = [</w:t>
      </w:r>
      <w:r>
        <w:t xml:space="preserve">, добавить новый объект (можно первым элементом):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44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slug: 'dicerace', ready: true,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title: 'Почему семёрка выигрывает гонку?',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sub: 'Урок-исследование · эксперимент с двумя кубиками · 2 класс',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type: 'research', typeLabel: 'Исследовательское', crosscutting: false,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classes: [2, 3], duration: '40 мин', group: 'малая группа 10–11',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modules: ['M2'], components: ['K1', 'K2', 'K3', 'K4', 'K5'],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accent: '#2f6f8f', soft: '#e6eff4',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idea: 'При броске двух кубиков всего 36 равновозможных пар (6 × 6). … у семёрки их максимум — шесть, у двойки и двенадцатки — по одной. Дети сначала ставят на число, проводят эксперимент, видят результат на поле — и сами находят объяснение через перебор. Пропедевтика комбинаторики и теории вероятностей.',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about: 'Урок-исследование: гипотеза → синхронный эксперимент (30 бросков по таймеру) → наблюдение на поле → объяснение через перебор. В финале 11 вопросов складываются в слово ВЕРОЯТНОСТЬ. 2 класс (10–11 чел.), адаптируется для 3 класса. Возможен открытый урок для родителей — расширенный сценарий в материалах.',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equipment: 'У каждого — два кубика, игровое поле (11 колонок 2–12) и машинки-фишки. На доске — демонстрационное поле. Таймер 10 секунд. Карточки-буквы для финала. Все материалы — в блоке ниже.',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goals: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k: 'K4', t: 'выдвинуть гипотезу (ставку) до опыта и проверить её экспериментом'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k: 'K2', t: 'подсчёт числа способов; различение (3,4)≠(4,3) и неупорядоченных пар'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k: 'K1', t: 'переход от факта эксперимента к объяснению через систематический перебор'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k: 'K3', t: 'поле как материализованная гистограмма; задачи о кубиках'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k: 'K5', t: 'рефлексия с именованием: у явления есть имя — вероятность'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flow: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n: 1, t: 'Вход: роль, поле, ставка', d: 'дети — исследователи; разбор поля; личная ставка', c: ['K4']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n: 2, t: 'Эксперимент: 30 синхронных бросков', d: 'по таймеру (10 с/такт), пауза после 15-го', c: ['K3', 'K4']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n: 3, t: 'Обсуждение: от факта к объяснению', d: 'перебор пар для 7, 2, 12; симметрия 6 и 8; вывод', c: ['K1', 'K2']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n: 4, t: 'Физминутка', d: 'движения по числу способов — гистограмма телом', c: ['K3']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n: 5, t: 'Четыре олимпиадные задачи', d: 'грани кубика, стопка (инвариант), перебор, турнир', c: ['K1', 'K2', 'K3']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n: 6, t: 'Финал: слово ВЕРОЯТНОСТЬ', d: '11 вопросов → карточки-буквы → сборка слова', c: ['K5']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materials: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icon: '🏁', t: 'Игровое поле (A3)', d: 'поле гонок, по одному на ученика', href: 'konspekty/materials/dicerace/field-a3.html'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icon: '🚗', t: 'Машинки-фишки', d: 'на разрез, 5 листов A4', href: 'konspekty/materials/dicerace/cars.html'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icon: '⏱️', t: 'Таймер 30 бросков', d: '10 секунд на такт, пауза после 15-го', href: 'konspekty/materials/dicerace/timer.html'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icon: '🔤', t: 'Карточки-буквы «ВЕРОЯТНОСТЬ»', d: '11 цветных карточек для финала', href: 'konspekty/materials/dicerace/letters.html'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icon: '✨', t: 'Заставка перед уроком', d: 'анимация «гонки» на экран', href: 'konspekty/materials/dicerace/intro.html'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icon: '📊', t: 'Демо-результат (резерв)', d: 'показ итога 30 бросков на экране', href: 'konspekty/materials/dicerace/result.html'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icon: '📄', t: 'Расширенный сценарий', d: 'открытый урок + блок для родителей (PDF)', href: 'konspekty/materials/dicerace/open-lesson.pdf'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},</w:t>
      </w:r>
    </w:p>
    <w:p>
      <w:pPr>
        <w:spacing w:after="140" w:before="0" w:line="288"/>
      </w:pPr>
      <w:r>
        <w:rPr>
          <w:color w:val="7A6F60"/>
          <w:sz w:val="19"/>
          <w:szCs w:val="19"/>
        </w:rPr>
        <w:t xml:space="preserve">idea приведена сокращённо для брифа — полный текст можно оставить как есть, важна структура полей. Поля slug/type/typeLabel/modules/components должны совпасть точно.</w:t>
      </w:r>
    </w:p>
    <w:p>
      <w:pPr>
        <w:pStyle w:val="Heading2"/>
      </w:pPr>
      <w:r>
        <w:t xml:space="preserve">Шаг 3 — блок «Материалы к уроку» на странице конспекта</w:t>
      </w:r>
    </w:p>
    <w:p>
      <w:pPr>
        <w:spacing w:after="120" w:before="0" w:line="288"/>
      </w:pPr>
      <w:r>
        <w:t xml:space="preserve">В компоненте </w:t>
      </w:r>
      <w:r>
        <w:rPr>
          <w:rFonts w:ascii="Consolas" w:cs="Consolas" w:eastAsia="Consolas" w:hAnsi="Consolas"/>
          <w:sz w:val="18"/>
          <w:szCs w:val="18"/>
        </w:rPr>
        <w:t xml:space="preserve">KonspektDetail</w:t>
      </w:r>
      <w:r>
        <w:t xml:space="preserve">, в конце блока «Действие» (там, где кнопки «Скачать конспект (PDF)» и «Открыть для печати»), найти закрытие этого блока: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44"/>
      </w:pPr>
      <w:r>
        <w:rPr>
          <w:rFonts w:ascii="Consolas" w:cs="Consolas" w:eastAsia="Consolas" w:hAnsi="Consolas"/>
          <w:sz w:val="18"/>
          <w:szCs w:val="18"/>
        </w:rPr>
        <w:t xml:space="preserve">&lt;span style={{ fontSize: 12, color: 'var(--ink-mute)' }}&gt;оригинальный PDF · …&lt;/span&gt;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&lt;/div&gt;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spacing w:after="60" w:before="0" w:line="288"/>
      </w:pPr>
      <w:r>
        <w:t xml:space="preserve">…и сразу после закрывающего </w:t>
      </w:r>
      <w:r>
        <w:rPr>
          <w:rFonts w:ascii="Consolas" w:cs="Consolas" w:eastAsia="Consolas" w:hAnsi="Consolas"/>
          <w:sz w:val="18"/>
          <w:szCs w:val="18"/>
        </w:rPr>
        <w:t xml:space="preserve">&lt;/div&gt;</w:t>
      </w:r>
      <w:r>
        <w:t xml:space="preserve"> блока действий (перед </w:t>
      </w:r>
      <w:r>
        <w:rPr>
          <w:rFonts w:ascii="Consolas" w:cs="Consolas" w:eastAsia="Consolas" w:hAnsi="Consolas"/>
          <w:sz w:val="18"/>
          <w:szCs w:val="18"/>
        </w:rPr>
        <w:t xml:space="preserve">&lt;/div&gt;</w:t>
      </w:r>
      <w:r>
        <w:t xml:space="preserve"> колонки) вставить: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44"/>
      </w:pPr>
      <w:r>
        <w:rPr>
          <w:rFonts w:ascii="Consolas" w:cs="Consolas" w:eastAsia="Consolas" w:hAnsi="Consolas"/>
          <w:sz w:val="18"/>
          <w:szCs w:val="18"/>
        </w:rPr>
        <w:t xml:space="preserve">            {/* Материалы к уроку */}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{k.materials &amp;&amp; k.materials.length &gt; 0 &amp;&amp; 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&lt;section style={{ marginTop: 22, borderTop: '1px solid var(--line)', paddingTop: 18 }}&gt;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&lt;div style={{ fontFamily: 'var(--serif)', fontWeight: 700, fontSize: 18, marginBottom: 4 }}&gt;Материалы к уроку&lt;/div&gt;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&lt;p style={{ fontSize: 12.5, color: 'var(--ink-mute)', margin: '0 0 12px' }}&gt;Печатные и экранные материалы. Открываются в новой вкладке — печатайте из браузера.&lt;/p&gt;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&lt;div style={{ display: 'grid', gridTemplateColumns: 'repeat(auto-fill, minmax(230px, 1fr))', gap: 10 }}&gt;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{k.materials.map((m, i) =&gt; 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&lt;a key={i} href={m.href} target="_blank" rel="noopener noreferrer" className="mmm-card"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style={{ display: 'block', padding: '12px 14px', textDecoration: 'none', color: 'inherit' }}&gt;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&lt;div style={{ fontWeight: 600, fontSize: 14 }}&gt;{m.icon ? m.icon + ' ' : ''}{m.t}&lt;/div&gt;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&lt;div style={{ fontSize: 12, color: 'var(--ink-soft)', marginTop: 2 }}&gt;{m.d}&lt;/div&gt;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&lt;/a&gt;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))}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&lt;/div&gt;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&lt;/section&gt;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)}</w:t>
      </w:r>
    </w:p>
    <w:p>
      <w:pPr>
        <w:spacing w:after="140" w:before="0" w:line="288"/>
      </w:pPr>
      <w:r>
        <w:rPr>
          <w:color w:val="7A6F60"/>
          <w:sz w:val="19"/>
          <w:szCs w:val="19"/>
        </w:rPr>
        <w:t xml:space="preserve">Использует существующие классы mmm-card и переменные var(--serif/--line/--ink-mute/--ink-soft). Блок появляется только у конспектов, где есть поле materials.</w:t>
      </w:r>
    </w:p>
    <w:p>
      <w:pPr>
        <w:pStyle w:val="Heading2"/>
      </w:pPr>
      <w:r>
        <w:t xml:space="preserve">Примечание про счётчик</w:t>
      </w:r>
    </w:p>
    <w:p>
      <w:pPr>
        <w:spacing w:after="120" w:before="0" w:line="288"/>
      </w:pPr>
      <w:r>
        <w:t xml:space="preserve">Счётчик «Готово N из 20» обновится сам — </w:t>
      </w:r>
      <w:r>
        <w:rPr>
          <w:rFonts w:ascii="Consolas" w:cs="Consolas" w:eastAsia="Consolas" w:hAnsi="Consolas"/>
          <w:sz w:val="18"/>
          <w:szCs w:val="18"/>
        </w:rPr>
        <w:t xml:space="preserve">READY_COUNT = KONSPEKTY.length</w:t>
      </w:r>
      <w:r>
        <w:t xml:space="preserve">. Станет «Готово 14 из 20», заглушек «скоро» останется 6. Менять ничего не нужно.</w:t>
      </w:r>
    </w:p>
    <w:p>
      <w:pPr>
        <w:pStyle w:val="Heading2"/>
      </w:pPr>
      <w:r>
        <w:t xml:space="preserve">Проверить после применения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В библиотеке конспектов появилась карточка «Почему семёрка выигрывает гонку?» (тип «Исследовательское», классы 2–3, модуль M2).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На странице конспекта кнопка «Скачать конспект (PDF)» отдаёт dicerace.pdf; «Открыть для печати» открывает его же.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Блок «Материалы к уроку» показывает 7 плиток; каждая открывается в новой вкладке (поле A3, машинки, таймер, буквы, заставка, демо-результат, расширенный сценарий).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Счётчик показывает «Готово 14 из 20».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472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A252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2026-06-13T23:37:38.685Z</dcterms:created>
  <dcterms:modified xsi:type="dcterms:W3CDTF">2026-06-13T23:37:38.696Z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