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b/>
          <w:bCs/>
          <w:sz w:val="32"/>
          <w:szCs w:val="32"/>
        </w:rPr>
        <w:t xml:space="preserve">ДИАГНОСТИКА СТАРТОВОГО УРОВНЯ</w:t>
      </w:r>
    </w:p>
    <w:p>
      <w:pPr>
        <w:spacing w:after="360"/>
        <w:jc w:val="center"/>
      </w:pPr>
      <w:r>
        <w:rPr>
          <w:i/>
          <w:iCs/>
          <w:sz w:val="26"/>
          <w:szCs w:val="26"/>
        </w:rPr>
        <w:t xml:space="preserve">Бланки трёх инструментов курса «Мастерская математического мышления»</w:t>
      </w:r>
    </w:p>
    <w:p>
      <w:pPr>
        <w:spacing w:after="100" w:line="312"/>
        <w:jc w:val="both"/>
      </w:pPr>
      <w:r>
        <w:t xml:space="preserve">Настоящий файл содержит бланки трёх диагностических инструментов курса для проведения входной диагностики в сентябре учебного года.</w:t>
      </w:r>
    </w:p>
    <w:p>
      <w:pPr>
        <w:spacing w:after="100" w:line="312"/>
        <w:jc w:val="both"/>
      </w:pPr>
      <w:r>
        <w:rPr>
          <w:b/>
          <w:bCs/>
        </w:rPr>
        <w:t xml:space="preserve">ДТМ — Диагностический тест математического мышления. </w:t>
      </w:r>
      <w:r>
        <w:t xml:space="preserve">Задачный тест на оценку четырёх компонентов: К1 логико-аналитический, К2 комбинаторно-стратегический, К3 пространственно-образный, К4 аргументационный. Три блока по два задания, максимум 15 баллов. Заполняется учеником. Время выполнения — 30–40 минут.</w:t>
      </w:r>
    </w:p>
    <w:p>
      <w:pPr>
        <w:spacing w:after="100" w:line="312"/>
        <w:jc w:val="both"/>
      </w:pPr>
      <w:r>
        <w:rPr>
          <w:b/>
          <w:bCs/>
        </w:rPr>
        <w:t xml:space="preserve">КПН — Карта педагогического наблюдения. </w:t>
      </w:r>
      <w:r>
        <w:t xml:space="preserve">Бланк для учителя: фиксация шести параметров поведения каждого ученика на занятии. Шкала 1–3 балла. Заполняется учителем на каждом 2–4-м занятии.</w:t>
      </w:r>
    </w:p>
    <w:p>
      <w:pPr>
        <w:spacing w:after="100" w:line="312"/>
        <w:jc w:val="both"/>
      </w:pPr>
      <w:r>
        <w:rPr>
          <w:b/>
          <w:bCs/>
        </w:rPr>
        <w:t xml:space="preserve">ОПМ — Опросник познавательной мотивации. </w:t>
      </w:r>
      <w:r>
        <w:t xml:space="preserve">Анкета из 10 пунктов на две субшкалы: внутренняя мотивация (ВМ) и познавательный интерес (ПИ). Шкала «да / иногда / нет». Для 1–2 классов заполняется устно с цветными карточками; для 3–4 классов — письменно.</w:t>
      </w:r>
    </w:p>
    <w:p>
      <w:pPr>
        <w:spacing w:after="100" w:line="312"/>
        <w:jc w:val="both"/>
      </w:pPr>
      <w:r>
        <w:t xml:space="preserve">Все три инструмента обеспечивают диагностику пяти компонентов математического мышления (К1–К5): К1–К4 — через тест ДТМ и наблюдение КПН; К5 рефлексивный — через КПН и финальное эссе, поскольку рефлексивный компонент имеет процессуальную природу и не диагностируется одноразовым тестом.</w:t>
      </w:r>
    </w:p>
    <w:p>
      <w:pPr>
        <w:spacing w:after="100" w:line="312"/>
        <w:jc w:val="both"/>
      </w:pPr>
      <w:r>
        <w:t xml:space="preserve"/>
      </w:r>
    </w:p>
    <w:p>
      <w:pPr>
        <w:spacing w:after="160" w:before="240"/>
        <w:jc w:val="center"/>
      </w:pPr>
      <w:r>
        <w:rPr>
          <w:b/>
          <w:bCs/>
          <w:sz w:val="26"/>
          <w:szCs w:val="26"/>
        </w:rPr>
        <w:t xml:space="preserve">Содержание</w:t>
      </w:r>
    </w:p>
    <w:p>
      <w:pPr>
        <w:spacing w:after="60"/>
      </w:pPr>
      <w:r>
        <w:t xml:space="preserve">1. ДТМ. Диагностический тест математического мышления</w:t>
      </w:r>
    </w:p>
    <w:p>
      <w:pPr>
        <w:spacing w:after="60"/>
      </w:pPr>
      <w:r>
        <w:t xml:space="preserve">    1.1. Бланк для 1–2 классов</w:t>
      </w:r>
    </w:p>
    <w:p>
      <w:pPr>
        <w:spacing w:after="60"/>
      </w:pPr>
      <w:r>
        <w:t xml:space="preserve">    1.2. Бланк для 3–4 классов</w:t>
      </w:r>
    </w:p>
    <w:p>
      <w:pPr>
        <w:spacing w:after="60"/>
      </w:pPr>
      <w:r>
        <w:t xml:space="preserve">    1.3. Шкалы оценивания и ключ для учителя</w:t>
      </w:r>
    </w:p>
    <w:p>
      <w:pPr>
        <w:spacing w:after="60"/>
      </w:pPr>
      <w:r>
        <w:t xml:space="preserve">2. КПН. Карта педагогического наблюдения</w:t>
      </w:r>
    </w:p>
    <w:p>
      <w:pPr>
        <w:spacing w:after="60"/>
      </w:pPr>
      <w:r>
        <w:t xml:space="preserve">    2.1. Параметры наблюдения и дескрипторы</w:t>
      </w:r>
    </w:p>
    <w:p>
      <w:pPr>
        <w:spacing w:after="60"/>
      </w:pPr>
      <w:r>
        <w:t xml:space="preserve">    2.2. Бланк для группы</w:t>
      </w:r>
    </w:p>
    <w:p>
      <w:pPr>
        <w:spacing w:after="60"/>
      </w:pPr>
      <w:r>
        <w:t xml:space="preserve">3. ОПМ. Опросник познавательной мотивации</w:t>
      </w:r>
    </w:p>
    <w:p>
      <w:pPr>
        <w:spacing w:after="60"/>
      </w:pPr>
      <w:r>
        <w:t xml:space="preserve">    3.1. Бланк для 1–2 классов (устная форма)</w:t>
      </w:r>
    </w:p>
    <w:p>
      <w:pPr>
        <w:spacing w:after="60"/>
      </w:pPr>
      <w:r>
        <w:t xml:space="preserve">    3.2. Бланк для 3–4 классов (письменная форма)</w:t>
      </w:r>
    </w:p>
    <w:p>
      <w:pPr>
        <w:spacing w:after="60"/>
      </w:pPr>
      <w:r>
        <w:t xml:space="preserve">    3.3. Ключ обработки результатов</w:t>
      </w:r>
    </w:p>
    <w:p>
      <w:r>
        <w:br w:type="page"/>
      </w:r>
    </w:p>
    <w:p>
      <w:pPr>
        <w:pStyle w:val="Heading1"/>
        <w:spacing w:after="200" w:before="240"/>
        <w:jc w:val="center"/>
      </w:pPr>
      <w:r>
        <w:rPr>
          <w:b/>
          <w:bCs/>
        </w:rPr>
        <w:t xml:space="preserve">1. ДТМ. ДИАГНОСТИЧЕСКИЙ ТЕСТ МАТЕМАТИЧЕСКОГО МЫШЛЕНИЯ</w:t>
      </w:r>
    </w:p>
    <w:p>
      <w:pPr>
        <w:spacing w:after="100" w:line="312"/>
        <w:jc w:val="both"/>
      </w:pPr>
      <w:r>
        <w:t xml:space="preserve">Тест состоит из трёх блоков. В каждом блоке два задания — А (поиск ответа) и Б (обоснование). Задание А оценивается шкалой 0–3 балла, задание Б — шкалой 0–2 балла. Максимальный балл за весь тест — 15. Уровни интерпретации: 0–5 — начальный; 6–10 — базовый; 11–15 — продвинутый.</w:t>
      </w:r>
    </w:p>
    <w:p>
      <w:pPr>
        <w:spacing w:after="100" w:line="312"/>
        <w:jc w:val="both"/>
      </w:pPr>
      <w:r>
        <w:t xml:space="preserve">Тест выдаётся ученику в двух вариантах в зависимости от возраста: для 1–2 классов и для 3–4 классов. Время выполнения — 30–40 минут. Допускается работа с черновиком; финальные ответы и обоснования ученик записывает в отведённые поля бланка.</w:t>
      </w:r>
    </w:p>
    <w:p>
      <w:pPr>
        <w:pStyle w:val="Heading2"/>
        <w:spacing w:after="140" w:before="280"/>
      </w:pPr>
      <w:r>
        <w:rPr>
          <w:b/>
          <w:bCs/>
        </w:rPr>
        <w:t xml:space="preserve">1.1. Бланк для 1–2 классов</w:t>
      </w:r>
    </w:p>
    <w:p>
      <w:pPr>
        <w:spacing w:after="80" w:before="80"/>
      </w:pPr>
      <w:r>
        <w:rPr>
          <w:b/>
          <w:bCs/>
        </w:rPr>
        <w:t xml:space="preserve">Имя, фамилия ученика:</w:t>
      </w:r>
      <w:r>
        <w:t xml:space="preserve"> ____________________________________________________________</w:t>
      </w:r>
    </w:p>
    <w:p>
      <w:pPr>
        <w:spacing w:after="80" w:before="80"/>
      </w:pPr>
      <w:r>
        <w:rPr>
          <w:b/>
          <w:bCs/>
        </w:rPr>
        <w:t xml:space="preserve">Класс:</w:t>
      </w:r>
      <w:r>
        <w:t xml:space="preserve"> ____________________________________________________________</w:t>
      </w:r>
    </w:p>
    <w:p>
      <w:pPr>
        <w:spacing w:after="80" w:before="80"/>
      </w:pPr>
      <w:r>
        <w:rPr>
          <w:b/>
          <w:bCs/>
        </w:rPr>
        <w:t xml:space="preserve">Дата:</w:t>
      </w:r>
      <w:r>
        <w:t xml:space="preserve"> ____________________________________________________________</w:t>
      </w:r>
    </w:p>
    <w:p>
      <w:pPr>
        <w:spacing w:after="100" w:line="312"/>
        <w:jc w:val="both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</w:rPr>
        <w:t xml:space="preserve">Блок 1 (К1 — логико-аналитический)</w:t>
      </w:r>
    </w:p>
    <w:p>
      <w:pPr>
        <w:spacing w:after="80" w:before="160"/>
      </w:pPr>
      <w:r>
        <w:rPr>
          <w:b/>
          <w:bCs/>
        </w:rPr>
        <w:t xml:space="preserve">Задание 1А.</w:t>
      </w:r>
    </w:p>
    <w:p>
      <w:pPr>
        <w:spacing w:after="100" w:line="312"/>
        <w:jc w:val="both"/>
      </w:pPr>
      <w:r>
        <w:t xml:space="preserve">В корзине яблоки и груши. Яблок на 3 больше, чем груш. Всего 11 фруктов. Сколько яблок?</w:t>
      </w:r>
    </w:p>
    <w:p>
      <w:pPr>
        <w:spacing w:after="40" w:before="100"/>
      </w:pPr>
      <w:r>
        <w:rPr>
          <w:i/>
          <w:iCs/>
        </w:rPr>
        <w:t xml:space="preserve">Ответ и решение: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80" w:before="160"/>
      </w:pPr>
      <w:r>
        <w:rPr>
          <w:b/>
          <w:bCs/>
        </w:rPr>
        <w:t xml:space="preserve">Задание 1Б.</w:t>
      </w:r>
    </w:p>
    <w:p>
      <w:pPr>
        <w:spacing w:after="100" w:line="312"/>
        <w:jc w:val="both"/>
      </w:pPr>
      <w:r>
        <w:t xml:space="preserve">Докажи, что других пар (груши, яблоки) с такими условиями нет.</w:t>
      </w:r>
    </w:p>
    <w:p>
      <w:pPr>
        <w:spacing w:after="40" w:before="100"/>
      </w:pPr>
      <w:r>
        <w:rPr>
          <w:i/>
          <w:iCs/>
        </w:rPr>
        <w:t xml:space="preserve">Объяснение: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pStyle w:val="Heading3"/>
        <w:spacing w:after="100" w:before="200"/>
      </w:pPr>
      <w:r>
        <w:rPr>
          <w:b/>
          <w:bCs/>
        </w:rPr>
        <w:t xml:space="preserve">Блок 2 (К2 — комбинаторно-стратегический)</w:t>
      </w:r>
    </w:p>
    <w:p>
      <w:pPr>
        <w:spacing w:after="80" w:before="160"/>
      </w:pPr>
      <w:r>
        <w:rPr>
          <w:b/>
          <w:bCs/>
        </w:rPr>
        <w:t xml:space="preserve">Задание 2А.</w:t>
      </w:r>
    </w:p>
    <w:p>
      <w:pPr>
        <w:spacing w:after="100" w:line="312"/>
        <w:jc w:val="both"/>
      </w:pPr>
      <w:r>
        <w:t xml:space="preserve">У Лёвы 3 цвета карандашей: красный, синий, зелёный. Сколькими способами он может выбрать 2 разных карандаша?</w:t>
      </w:r>
    </w:p>
    <w:p>
      <w:pPr>
        <w:spacing w:after="40" w:before="100"/>
      </w:pPr>
      <w:r>
        <w:rPr>
          <w:i/>
          <w:iCs/>
        </w:rPr>
        <w:t xml:space="preserve">Ответ и решение: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80" w:before="160"/>
      </w:pPr>
      <w:r>
        <w:rPr>
          <w:b/>
          <w:bCs/>
        </w:rPr>
        <w:t xml:space="preserve">Задание 2Б.</w:t>
      </w:r>
    </w:p>
    <w:p>
      <w:pPr>
        <w:spacing w:after="100" w:line="312"/>
        <w:jc w:val="both"/>
      </w:pPr>
      <w:r>
        <w:t xml:space="preserve">Докажи, что ты нашёл все пары.</w:t>
      </w:r>
    </w:p>
    <w:p>
      <w:pPr>
        <w:spacing w:after="40" w:before="100"/>
      </w:pPr>
      <w:r>
        <w:rPr>
          <w:i/>
          <w:iCs/>
        </w:rPr>
        <w:t xml:space="preserve">Объяснение: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pStyle w:val="Heading3"/>
        <w:spacing w:after="100" w:before="200"/>
      </w:pPr>
      <w:r>
        <w:rPr>
          <w:b/>
          <w:bCs/>
        </w:rPr>
        <w:t xml:space="preserve">Блок 3 (К3 — пространственно-образный)</w:t>
      </w:r>
    </w:p>
    <w:p>
      <w:pPr>
        <w:spacing w:after="80" w:before="160"/>
      </w:pPr>
      <w:r>
        <w:rPr>
          <w:b/>
          <w:bCs/>
        </w:rPr>
        <w:t xml:space="preserve">Задание 3А.</w:t>
      </w:r>
    </w:p>
    <w:p>
      <w:pPr>
        <w:spacing w:after="100" w:line="312"/>
        <w:jc w:val="both"/>
      </w:pPr>
      <w:r>
        <w:t xml:space="preserve">На рисунке прямоугольник 3×4 клетки. Его разрезали по одной прямой линии (по линиям сетки) на два прямоугольника. Найди все возможные способы разрезания.</w:t>
      </w:r>
    </w:p>
    <w:p>
      <w:pPr>
        <w:spacing w:after="100" w:line="312"/>
        <w:jc w:val="both"/>
      </w:pPr>
      <w:r>
        <w:t xml:space="preserve">(Допускается схема. Используй клетчатую часть бланка ниже или начерти на черновике.)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600"/>
        <w:gridCol w:w="600"/>
      </w:tblGrid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spacing w:after="100" w:line="312"/>
        <w:jc w:val="both"/>
      </w:pPr>
      <w:r>
        <w:t xml:space="preserve"/>
      </w:r>
    </w:p>
    <w:p>
      <w:pPr>
        <w:spacing w:after="40" w:before="100"/>
      </w:pPr>
      <w:r>
        <w:rPr>
          <w:i/>
          <w:iCs/>
        </w:rPr>
        <w:t xml:space="preserve">Ответ (количество способов и описание):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80" w:before="160"/>
      </w:pPr>
      <w:r>
        <w:rPr>
          <w:b/>
          <w:bCs/>
        </w:rPr>
        <w:t xml:space="preserve">Задание 3Б.</w:t>
      </w:r>
    </w:p>
    <w:p>
      <w:pPr>
        <w:spacing w:after="100" w:line="312"/>
        <w:jc w:val="both"/>
      </w:pPr>
      <w:r>
        <w:t xml:space="preserve">Объясни, почему нельзя разрезать прямоугольник по диагонали и получить из частей два прямоугольника.</w:t>
      </w:r>
    </w:p>
    <w:p>
      <w:pPr>
        <w:spacing w:after="40" w:before="100"/>
      </w:pPr>
      <w:r>
        <w:rPr>
          <w:i/>
          <w:iCs/>
        </w:rPr>
        <w:t xml:space="preserve">Объяснение: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</w:rPr>
        <w:t xml:space="preserve">1.2. Бланк для 3–4 классов</w:t>
      </w:r>
    </w:p>
    <w:p>
      <w:pPr>
        <w:spacing w:after="80" w:before="80"/>
      </w:pPr>
      <w:r>
        <w:rPr>
          <w:b/>
          <w:bCs/>
        </w:rPr>
        <w:t xml:space="preserve">Имя, фамилия ученика:</w:t>
      </w:r>
      <w:r>
        <w:t xml:space="preserve"> ____________________________________________________________</w:t>
      </w:r>
    </w:p>
    <w:p>
      <w:pPr>
        <w:spacing w:after="80" w:before="80"/>
      </w:pPr>
      <w:r>
        <w:rPr>
          <w:b/>
          <w:bCs/>
        </w:rPr>
        <w:t xml:space="preserve">Класс:</w:t>
      </w:r>
      <w:r>
        <w:t xml:space="preserve"> ____________________________________________________________</w:t>
      </w:r>
    </w:p>
    <w:p>
      <w:pPr>
        <w:spacing w:after="80" w:before="80"/>
      </w:pPr>
      <w:r>
        <w:rPr>
          <w:b/>
          <w:bCs/>
        </w:rPr>
        <w:t xml:space="preserve">Дата:</w:t>
      </w:r>
      <w:r>
        <w:t xml:space="preserve"> ____________________________________________________________</w:t>
      </w:r>
    </w:p>
    <w:p>
      <w:pPr>
        <w:spacing w:after="100" w:line="312"/>
        <w:jc w:val="both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</w:rPr>
        <w:t xml:space="preserve">Блок 1 (К1 — логико-аналитический)</w:t>
      </w:r>
    </w:p>
    <w:p>
      <w:pPr>
        <w:spacing w:after="80" w:before="160"/>
      </w:pPr>
      <w:r>
        <w:rPr>
          <w:b/>
          <w:bCs/>
        </w:rPr>
        <w:t xml:space="preserve">Задание 1А.</w:t>
      </w:r>
    </w:p>
    <w:p>
      <w:pPr>
        <w:spacing w:after="100" w:line="312"/>
        <w:jc w:val="both"/>
      </w:pPr>
      <w:r>
        <w:t xml:space="preserve">В классе 25 учеников. Каждый ученик играет в шахматы, или в шашки, или в обе игры. В шахматы играют 16 учеников, в шашки — 14. Сколько учеников играют в обе игры?</w:t>
      </w:r>
    </w:p>
    <w:p>
      <w:pPr>
        <w:spacing w:after="40" w:before="100"/>
      </w:pPr>
      <w:r>
        <w:rPr>
          <w:i/>
          <w:iCs/>
        </w:rPr>
        <w:t xml:space="preserve">Ответ и решение: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80" w:before="160"/>
      </w:pPr>
      <w:r>
        <w:rPr>
          <w:b/>
          <w:bCs/>
        </w:rPr>
        <w:t xml:space="preserve">Задание 1Б.</w:t>
      </w:r>
    </w:p>
    <w:p>
      <w:pPr>
        <w:spacing w:after="100" w:line="312"/>
        <w:jc w:val="both"/>
      </w:pPr>
      <w:r>
        <w:t xml:space="preserve">Что произойдёт с задачей, если предположить, что в обе игры не играет никто? Объясни.</w:t>
      </w:r>
    </w:p>
    <w:p>
      <w:pPr>
        <w:spacing w:after="40" w:before="100"/>
      </w:pPr>
      <w:r>
        <w:rPr>
          <w:i/>
          <w:iCs/>
        </w:rPr>
        <w:t xml:space="preserve">Объяснение: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pStyle w:val="Heading3"/>
        <w:spacing w:after="100" w:before="200"/>
      </w:pPr>
      <w:r>
        <w:rPr>
          <w:b/>
          <w:bCs/>
        </w:rPr>
        <w:t xml:space="preserve">Блок 2 (К2 — комбинаторно-стратегический)</w:t>
      </w:r>
    </w:p>
    <w:p>
      <w:pPr>
        <w:spacing w:after="80" w:before="160"/>
      </w:pPr>
      <w:r>
        <w:rPr>
          <w:b/>
          <w:bCs/>
        </w:rPr>
        <w:t xml:space="preserve">Задание 2А.</w:t>
      </w:r>
    </w:p>
    <w:p>
      <w:pPr>
        <w:spacing w:after="100" w:line="312"/>
        <w:jc w:val="both"/>
      </w:pPr>
      <w:r>
        <w:t xml:space="preserve">Игра «Последний»: на столе 15 монет. Двое игроков по очереди берут со стола 1 или 2 монеты. Проигрывает тот, кто возьмёт последнюю монету. Найди выигрышную стратегию первого игрока — то есть опиши, как первому игроку играть, чтобы всегда побеждать.</w:t>
      </w:r>
    </w:p>
    <w:p>
      <w:pPr>
        <w:spacing w:after="40" w:before="100"/>
      </w:pPr>
      <w:r>
        <w:rPr>
          <w:i/>
          <w:iCs/>
        </w:rPr>
        <w:t xml:space="preserve">Стратегия первого игрока: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80" w:before="160"/>
      </w:pPr>
      <w:r>
        <w:rPr>
          <w:b/>
          <w:bCs/>
        </w:rPr>
        <w:t xml:space="preserve">Задание 2Б.</w:t>
      </w:r>
    </w:p>
    <w:p>
      <w:pPr>
        <w:spacing w:after="100" w:line="312"/>
        <w:jc w:val="both"/>
      </w:pPr>
      <w:r>
        <w:t xml:space="preserve">Докажи, что эта стратегия работает при любых ходах второго игрока.</w:t>
      </w:r>
    </w:p>
    <w:p>
      <w:pPr>
        <w:spacing w:after="40" w:before="100"/>
      </w:pPr>
      <w:r>
        <w:rPr>
          <w:i/>
          <w:iCs/>
        </w:rPr>
        <w:t xml:space="preserve">Доказательство: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pStyle w:val="Heading3"/>
        <w:spacing w:after="100" w:before="200"/>
      </w:pPr>
      <w:r>
        <w:rPr>
          <w:b/>
          <w:bCs/>
        </w:rPr>
        <w:t xml:space="preserve">Блок 3 (К3 — пространственно-образный)</w:t>
      </w:r>
    </w:p>
    <w:p>
      <w:pPr>
        <w:spacing w:after="80" w:before="160"/>
      </w:pPr>
      <w:r>
        <w:rPr>
          <w:b/>
          <w:bCs/>
        </w:rPr>
        <w:t xml:space="preserve">Задание 3А.</w:t>
      </w:r>
    </w:p>
    <w:p>
      <w:pPr>
        <w:spacing w:after="100" w:line="312"/>
        <w:jc w:val="both"/>
      </w:pPr>
      <w:r>
        <w:t xml:space="preserve">Дан квадрат 4×4 клетки. Можно ли покрыть его доминошками 1×2 без перекрытий и без выходов за границу? Если да, покажи один из способов.</w:t>
      </w:r>
    </w:p>
    <w:p>
      <w:pPr>
        <w:spacing w:after="100" w:line="312"/>
        <w:jc w:val="both"/>
      </w:pPr>
      <w:r>
        <w:t xml:space="preserve">(Используй сетку ниже или сделай зарисовку.)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600"/>
        <w:gridCol w:w="600"/>
      </w:tblGrid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spacing w:after="100" w:line="312"/>
        <w:jc w:val="both"/>
      </w:pPr>
      <w:r>
        <w:t xml:space="preserve"/>
      </w:r>
    </w:p>
    <w:p>
      <w:pPr>
        <w:spacing w:after="40" w:before="100"/>
      </w:pPr>
      <w:r>
        <w:rPr>
          <w:i/>
          <w:iCs/>
        </w:rPr>
        <w:t xml:space="preserve">Ответ: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80" w:before="160"/>
      </w:pPr>
      <w:r>
        <w:rPr>
          <w:b/>
          <w:bCs/>
        </w:rPr>
        <w:t xml:space="preserve">Задание 3Б.</w:t>
      </w:r>
    </w:p>
    <w:p>
      <w:pPr>
        <w:spacing w:after="100" w:line="312"/>
        <w:jc w:val="both"/>
      </w:pPr>
      <w:r>
        <w:t xml:space="preserve">А можно ли покрыть таким же способом квадрат 3×3 клетки? Докажи свой ответ.</w:t>
      </w:r>
    </w:p>
    <w:p>
      <w:pPr>
        <w:spacing w:after="40" w:before="100"/>
      </w:pPr>
      <w:r>
        <w:rPr>
          <w:i/>
          <w:iCs/>
        </w:rPr>
        <w:t xml:space="preserve">Доказательство: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_______________________________________________________________________________________________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</w:rPr>
        <w:t xml:space="preserve">1.3. Шкалы оценивания и ключ для учителя</w:t>
      </w:r>
    </w:p>
    <w:p>
      <w:pPr>
        <w:pStyle w:val="Heading3"/>
        <w:spacing w:after="100" w:before="200"/>
      </w:pPr>
      <w:r>
        <w:rPr>
          <w:b/>
          <w:bCs/>
        </w:rPr>
        <w:t xml:space="preserve">Шкала А (поиск ответа, 0–3 балла)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4000"/>
      </w:tblGrid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Баллы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Критерий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Типичный ответ ученика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0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Не приступил или ответ не связан с условием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Молчание, «не знаю», случайное число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1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Верный ответ без пояснений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«Ответ 7» — без рассуждений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2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Верный ответ с частичным рассуждением: опирается на конкретный пример, не обобщает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«Я попробовал 7 — подходит. И 6 — не подходит»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3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Верный ответ с полным рассуждением: раскрывает логику, обобщает, явно проверяет другие варианты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«Ответ 7, потому что… и других вариантов нет, так как…»</w:t>
            </w:r>
          </w:p>
        </w:tc>
      </w:tr>
    </w:tbl>
    <w:p>
      <w:pPr>
        <w:spacing w:after="100" w:line="312"/>
        <w:jc w:val="both"/>
      </w:pPr>
      <w:r>
        <w:t xml:space="preserve"/>
      </w:r>
    </w:p>
    <w:p>
      <w:pPr>
        <w:spacing w:after="100" w:line="312"/>
        <w:jc w:val="both"/>
      </w:pPr>
      <w:r>
        <w:rPr>
          <w:b/>
          <w:bCs/>
        </w:rPr>
        <w:t xml:space="preserve">Уточняющая пометка к баллу 1. </w:t>
      </w:r>
      <w:r>
        <w:t xml:space="preserve">При выставлении балла 1 за задание А учитель задаёт ребёнку уточняющий вопрос «Как ты это нашёл?» и фиксирует одну из двух пометок: «1-у» — угадывание (ребёнок не может объяснить, как пришёл к ответу); «1-ч» — частичное понимание (ребёнок объясняет хотя бы один шаг рассуждения). Пометка не влияет на суммарный балл, но используется в качественном анализе и в сопоставлении с КПН-П5.</w:t>
      </w:r>
    </w:p>
    <w:p>
      <w:pPr>
        <w:pStyle w:val="Heading3"/>
        <w:spacing w:after="100" w:before="200"/>
      </w:pPr>
      <w:r>
        <w:rPr>
          <w:b/>
          <w:bCs/>
        </w:rPr>
        <w:t xml:space="preserve">Шкала Б (обоснование, 0–2 балла)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00"/>
      </w:tblGrid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Баллы</w:t>
            </w:r>
          </w:p>
        </w:tc>
        <w:tc>
          <w:tcPr>
            <w:tcW w:type="dxa" w:w="7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Критерий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0</w:t>
            </w:r>
          </w:p>
        </w:tc>
        <w:tc>
          <w:tcPr>
            <w:tcW w:type="dxa" w:w="7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Не отвечает или повторяет ответ задания А без объяснения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1</w:t>
            </w:r>
          </w:p>
        </w:tc>
        <w:tc>
          <w:tcPr>
            <w:tcW w:type="dxa" w:w="7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Частичное обоснование: один аргумент, не доказывает невозможность других вариантов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2</w:t>
            </w:r>
          </w:p>
        </w:tc>
        <w:tc>
          <w:tcPr>
            <w:tcW w:type="dxa" w:w="7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Полное обоснование: объясняет, почему ответ единственный, или явно перебирает и отвергает альтернативы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Ключ к ответам и оценке</w:t>
      </w:r>
    </w:p>
    <w:p>
      <w:pPr>
        <w:spacing w:after="100" w:line="312"/>
        <w:jc w:val="both"/>
      </w:pPr>
      <w:r>
        <w:rPr>
          <w:b/>
          <w:bCs/>
        </w:rPr>
        <w:t xml:space="preserve">1–2 классы.</w:t>
      </w:r>
      <w:r>
        <w:t xml:space="preserve"/>
      </w:r>
    </w:p>
    <w:p>
      <w:pPr>
        <w:spacing w:after="100" w:line="312"/>
        <w:jc w:val="both"/>
      </w:pPr>
      <w:r>
        <w:t xml:space="preserve">Блок 1, задание А (К1): 7 яблок и 4 груши. Полное обоснование (3 балла): рассуждение «4+7=11 и 7−4=3; других пар нет, так как при 5 грушах и 8 яблоках сумма 13, при 3 грушах и 6 яблоках сумма 9 — не подходит».</w:t>
      </w:r>
    </w:p>
    <w:p>
      <w:pPr>
        <w:spacing w:after="100" w:line="312"/>
        <w:jc w:val="both"/>
      </w:pPr>
      <w:r>
        <w:t xml:space="preserve">Блок 1, задание Б (К4): полные 2 балла — ученик показывает перебор остальных пар (груши, яблоки) и объясняет, почему ни одна из них не удовлетворяет обоим условиям.</w:t>
      </w:r>
    </w:p>
    <w:p>
      <w:pPr>
        <w:spacing w:after="100" w:line="312"/>
        <w:jc w:val="both"/>
      </w:pPr>
      <w:r>
        <w:t xml:space="preserve">Блок 2, задание А (К2): 3 способа. Полное обоснование (3 балла): «КС, КЗ, СЗ — это все возможные пары, и пары (С, К) и (К, С) считаются одинаковыми».</w:t>
      </w:r>
    </w:p>
    <w:p>
      <w:pPr>
        <w:spacing w:after="100" w:line="312"/>
        <w:jc w:val="both"/>
      </w:pPr>
      <w:r>
        <w:t xml:space="preserve">Блок 2, задание Б (К4): полные 2 балла — ученик доказывает, что ни одна другая пара цветов не подходит, и формулирует это явно.</w:t>
      </w:r>
    </w:p>
    <w:p>
      <w:pPr>
        <w:spacing w:after="100" w:line="312"/>
        <w:jc w:val="both"/>
      </w:pPr>
      <w:r>
        <w:t xml:space="preserve">Блок 3, задание А (К3): 6 способов разрезания — 2 горизонтальных линии (между 1-й и 2-й строками; между 2-й и 3-й) и 3 вертикальных (между столбцами). Точнее: 2 горизонтальных + 3 вертикальных = 5 способов; если ученик нашёл 5 — полные 3 балла. Уточнение возможно: при размерах 3×4 — три вертикальных линии и две горизонтальных линии.</w:t>
      </w:r>
    </w:p>
    <w:p>
      <w:pPr>
        <w:spacing w:after="100" w:line="312"/>
        <w:jc w:val="both"/>
      </w:pPr>
      <w:r>
        <w:t xml:space="preserve">Блок 3, задание Б (К4): полные 2 балла — ученик объясняет, что прямая, идущая по диагонали, даёт два треугольника, а не два прямоугольника.</w:t>
      </w:r>
    </w:p>
    <w:p>
      <w:pPr>
        <w:spacing w:after="100" w:line="312"/>
        <w:jc w:val="both"/>
      </w:pPr>
      <w:r>
        <w:rPr>
          <w:b/>
          <w:bCs/>
        </w:rPr>
        <w:t xml:space="preserve">3–4 классы.</w:t>
      </w:r>
      <w:r>
        <w:t xml:space="preserve"/>
      </w:r>
    </w:p>
    <w:p>
      <w:pPr>
        <w:spacing w:after="100" w:line="312"/>
        <w:jc w:val="both"/>
      </w:pPr>
      <w:r>
        <w:t xml:space="preserve">Блок 1, задание А (К1): 5 учеников играют в обе игры. Полное обоснование (3 балла): применение принципа включений-исключений: 16 + 14 − 25 = 5; явное объяснение, почему вычитается общее количество учеников.</w:t>
      </w:r>
    </w:p>
    <w:p>
      <w:pPr>
        <w:spacing w:after="100" w:line="312"/>
        <w:jc w:val="both"/>
      </w:pPr>
      <w:r>
        <w:t xml:space="preserve">Блок 1, задание Б (К4): полные 2 балла — ученик показывает, что предположение «никто не играет в обе» приводит к 16 + 14 = 30 учеников, что противоречит исходным 25; следовательно, в обе играют 5 учеников.</w:t>
      </w:r>
    </w:p>
    <w:p>
      <w:pPr>
        <w:spacing w:after="100" w:line="312"/>
        <w:jc w:val="both"/>
      </w:pPr>
      <w:r>
        <w:t xml:space="preserve">Блок 2, задание А (К2): первый игрок берёт 2 монеты (остаётся 13). Далее на каждом ходе добирает свой ход и ход соперника до 3 монет в сумме. К ходу второго игрока на столе будут оставаться кратные 3 числа монет (13, 10, 7, 4, 1), на 1 монете заканчивается партия проигрышем второго игрока.</w:t>
      </w:r>
    </w:p>
    <w:p>
      <w:pPr>
        <w:spacing w:after="100" w:line="312"/>
        <w:jc w:val="both"/>
      </w:pPr>
      <w:r>
        <w:t xml:space="preserve">Блок 2, задание Б (К4): полные 2 балла — ученик доказывает, что при любом ходе второго игрока первый может добрать сумму до 3 и снова оставить кратное 3 числу +1.</w:t>
      </w:r>
    </w:p>
    <w:p>
      <w:pPr>
        <w:spacing w:after="100" w:line="312"/>
        <w:jc w:val="both"/>
      </w:pPr>
      <w:r>
        <w:t xml:space="preserve">Блок 3, задание А (К3): да, покрыть можно: 16 клеток / 2 = 8 доминошек. Один из способов — четыре пары горизонтальных доминошек в каждой строке.</w:t>
      </w:r>
    </w:p>
    <w:p>
      <w:pPr>
        <w:spacing w:after="100" w:line="312"/>
        <w:jc w:val="both"/>
      </w:pPr>
      <w:r>
        <w:t xml:space="preserve">Блок 3, задание Б (К4): полные 2 балла — ученик доказывает невозможность для квадрата 3×3 через чётность: 9 клеток / 2 = 4,5 доминошки — нецелое число, значит покрытие невозможно. Альтернативное доказательство — через раскраску в шахматном порядке (5 клеток одного цвета, 4 другого; каждая доминошка покрывает по одной клетке каждого цвета, всего нужно одинаковое количество клеток обоих цветов).</w:t>
      </w:r>
    </w:p>
    <w:p>
      <w:pPr>
        <w:pStyle w:val="Heading3"/>
        <w:spacing w:after="100" w:before="200"/>
      </w:pPr>
      <w:r>
        <w:rPr>
          <w:b/>
          <w:bCs/>
        </w:rPr>
        <w:t xml:space="preserve">Сводный бланк подсчёта баллов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200"/>
        <w:gridCol w:w="1600"/>
      </w:tblGrid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Блок и задание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А (0–3)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Пометка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Б (0–2)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Итого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Блок 1 (К1 + К4 часть 1)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i/>
                <w:iCs/>
              </w:rPr>
              <w:t xml:space="preserve">1-у / 1-ч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Блок 2 (К2 + К4 часть 2)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i/>
                <w:iCs/>
              </w:rPr>
              <w:t xml:space="preserve">1-у / 1-ч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Блок 3 (К3 + К4 часть 3)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i/>
                <w:iCs/>
              </w:rPr>
              <w:t xml:space="preserve">1-у / 1-ч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Σ по компонентам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К1+К2+К3 (0–9)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—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К4 (0–6)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ДТМ Σ (0–15)</w:t>
            </w:r>
          </w:p>
        </w:tc>
      </w:tr>
    </w:tbl>
    <w:p>
      <w:pPr>
        <w:spacing w:after="100" w:line="312"/>
        <w:jc w:val="both"/>
      </w:pPr>
      <w:r>
        <w:t xml:space="preserve"/>
      </w:r>
    </w:p>
    <w:p>
      <w:pPr>
        <w:spacing w:after="100" w:line="312"/>
        <w:jc w:val="both"/>
      </w:pPr>
      <w:r>
        <w:rPr>
          <w:b/>
          <w:bCs/>
        </w:rPr>
        <w:t xml:space="preserve">Уровни интерпретации: </w:t>
      </w:r>
      <w:r>
        <w:t xml:space="preserve">0–5 — начальный; 6–10 — базовый; 11–15 — продвинутый.</w:t>
      </w:r>
    </w:p>
    <w:p>
      <w:r>
        <w:br w:type="page"/>
      </w:r>
    </w:p>
    <w:p>
      <w:pPr>
        <w:pStyle w:val="Heading1"/>
        <w:spacing w:after="200" w:before="240"/>
        <w:jc w:val="center"/>
      </w:pPr>
      <w:r>
        <w:rPr>
          <w:b/>
          <w:bCs/>
        </w:rPr>
        <w:t xml:space="preserve">2. КПН. КАРТА ПЕДАГОГИЧЕСКОГО НАБЛЮДЕНИЯ</w:t>
      </w:r>
    </w:p>
    <w:p>
      <w:pPr>
        <w:spacing w:after="100" w:line="312"/>
        <w:jc w:val="both"/>
      </w:pPr>
      <w:r>
        <w:t xml:space="preserve">Карта заполняется педагогом на каждом 2–4-м занятии. Шкала: 1 — не проявляется; 2 — проявляется иногда или при поддержке; 3 — проявляется устойчиво самостоятельно. Карта используется для отслеживания индивидуального прогресса каждого ученика и динамики группы в целом.</w:t>
      </w:r>
    </w:p>
    <w:p>
      <w:pPr>
        <w:pStyle w:val="Heading2"/>
        <w:spacing w:after="140" w:before="280"/>
      </w:pPr>
      <w:r>
        <w:rPr>
          <w:b/>
          <w:bCs/>
        </w:rPr>
        <w:t xml:space="preserve">2.1. Параметры наблюдения и дескрипторы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750"/>
        <w:gridCol w:w="1750"/>
        <w:gridCol w:w="1850"/>
        <w:gridCol w:w="810"/>
      </w:tblGrid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«1» — не проявляется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«2» — иногда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«3» — устойчиво</w:t>
            </w:r>
          </w:p>
        </w:tc>
        <w:tc>
          <w:tcPr>
            <w:tcW w:type="dxa" w:w="8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Компонент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П1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Скорость вхождения в задачу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Долго сидит без действий или сразу сдаётся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Начинает после подсказки педагога или соседа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Самостоятельно читает условие и сразу начинает действовать</w:t>
            </w:r>
          </w:p>
        </w:tc>
        <w:tc>
          <w:tcPr>
            <w:tcW w:type="dxa" w:w="8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К1, К5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П2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Наличие стратегии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Действует хаотично, перебор не систематизирован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Есть элемент системы, но не до конца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Строит таблицу, дерево или явно обозначает план перебора</w:t>
            </w:r>
          </w:p>
        </w:tc>
        <w:tc>
          <w:tcPr>
            <w:tcW w:type="dxa" w:w="8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К2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П3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Реакция на ошибку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Отчаивается или игнорирует ошибку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Замечает ошибку после указания, исправляет без объяснения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Сам замечает ошибку, называет причину и исправляет</w:t>
            </w:r>
          </w:p>
        </w:tc>
        <w:tc>
          <w:tcPr>
            <w:tcW w:type="dxa" w:w="8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К5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П4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Характер вопросов к педагогу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Не обращается или требует готового ответа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Задаёт вопрос: «Скажи ответ»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Задаёт уточняющий вопрос к условию или к своей гипотезе</w:t>
            </w:r>
          </w:p>
        </w:tc>
        <w:tc>
          <w:tcPr>
            <w:tcW w:type="dxa" w:w="8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К5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П5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Качество аргументации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Называет ответ без объяснения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Объясняет частично, через один пример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Объясняет полностью, ссылается на логику или правило</w:t>
            </w:r>
          </w:p>
        </w:tc>
        <w:tc>
          <w:tcPr>
            <w:tcW w:type="dxa" w:w="8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К4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П6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Активность в обсуждении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Молчит или лишь соглашается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Высказывается по запросу педагога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Инициативно возражает, задаёт вопросы группе</w:t>
            </w:r>
          </w:p>
        </w:tc>
        <w:tc>
          <w:tcPr>
            <w:tcW w:type="dxa" w:w="8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К4, К5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2.2. Бланк для группы</w:t>
      </w:r>
    </w:p>
    <w:p>
      <w:pPr>
        <w:spacing w:after="80" w:before="80"/>
      </w:pPr>
      <w:r>
        <w:rPr>
          <w:b/>
          <w:bCs/>
        </w:rPr>
        <w:t xml:space="preserve">Класс:</w:t>
      </w:r>
      <w:r>
        <w:t xml:space="preserve"> ____________________________________________________________</w:t>
      </w:r>
    </w:p>
    <w:p>
      <w:pPr>
        <w:spacing w:after="80" w:before="80"/>
      </w:pPr>
      <w:r>
        <w:rPr>
          <w:b/>
          <w:bCs/>
        </w:rPr>
        <w:t xml:space="preserve">Педагог:</w:t>
      </w:r>
      <w:r>
        <w:t xml:space="preserve"> ____________________________________________________________</w:t>
      </w:r>
    </w:p>
    <w:p>
      <w:pPr>
        <w:spacing w:after="80" w:before="80"/>
      </w:pPr>
      <w:r>
        <w:rPr>
          <w:b/>
          <w:bCs/>
        </w:rPr>
        <w:t xml:space="preserve">Дата занятия / номер занятия:</w:t>
      </w:r>
      <w:r>
        <w:t xml:space="preserve"> ____________________________________________________________</w:t>
      </w:r>
    </w:p>
    <w:p>
      <w:pPr>
        <w:spacing w:after="100" w:line="312"/>
        <w:jc w:val="both"/>
      </w:pPr>
      <w:r>
        <w:t xml:space="preserve"/>
      </w:r>
    </w:p>
    <w:p>
      <w:pPr>
        <w:spacing w:after="100" w:line="312"/>
        <w:jc w:val="both"/>
      </w:pPr>
      <w:r>
        <w:t xml:space="preserve">Заполните бланк по каждому ученику группы. В ячейке проставьте 1, 2 или 3 — в соответствии с дескриптором из таблицы выше.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900"/>
        <w:gridCol w:w="900"/>
        <w:gridCol w:w="900"/>
        <w:gridCol w:w="900"/>
        <w:gridCol w:w="900"/>
        <w:gridCol w:w="900"/>
        <w:gridCol w:w="360"/>
      </w:tblGrid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Фамилия, имя ученика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П1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П2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П3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П4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П5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П6</w:t>
            </w:r>
          </w:p>
        </w:tc>
        <w:tc>
          <w:tcPr>
            <w:tcW w:type="dxa" w:w="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Σ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1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2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3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4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5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6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7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8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9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10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11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12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</w:tr>
    </w:tbl>
    <w:p>
      <w:pPr>
        <w:spacing w:after="100" w:line="312"/>
        <w:jc w:val="both"/>
      </w:pPr>
      <w:r>
        <w:t xml:space="preserve"/>
      </w:r>
    </w:p>
    <w:p>
      <w:pPr>
        <w:spacing w:after="100" w:line="312"/>
        <w:jc w:val="both"/>
      </w:pPr>
      <w:r>
        <w:rPr>
          <w:b/>
          <w:bCs/>
        </w:rPr>
        <w:t xml:space="preserve">Интерпретация суммарного балла КПН (6–18).</w:t>
      </w:r>
      <w:r>
        <w:t xml:space="preserve"> 6–9 баллов — начальный уровень мыслительной активности; 10–13 — базовый; 14–18 — устойчивая мыслительная активность. Анализируется как индивидуальный балл каждого ученика, так и средний балл группы по каждому параметру.</w:t>
      </w:r>
    </w:p>
    <w:p>
      <w:pPr>
        <w:spacing w:after="100" w:line="312"/>
        <w:jc w:val="both"/>
      </w:pPr>
      <w:r>
        <w:t xml:space="preserve"/>
      </w:r>
    </w:p>
    <w:p>
      <w:pPr>
        <w:spacing w:after="100" w:line="312"/>
        <w:jc w:val="both"/>
      </w:pPr>
      <w:r>
        <w:rPr>
          <w:b/>
          <w:bCs/>
        </w:rPr>
        <w:t xml:space="preserve">Визуализация. </w:t>
      </w:r>
      <w:r>
        <w:t xml:space="preserve">Для каждого ученика рекомендуется построение паутинной диаграммы по шести осям (П1–П6) — это позволяет быстро считывать профиль ребёнка и сравнивать его с групповым средним.</w:t>
      </w:r>
    </w:p>
    <w:p>
      <w:r>
        <w:br w:type="page"/>
      </w:r>
    </w:p>
    <w:p>
      <w:pPr>
        <w:pStyle w:val="Heading1"/>
        <w:spacing w:after="200" w:before="240"/>
        <w:jc w:val="center"/>
      </w:pPr>
      <w:r>
        <w:rPr>
          <w:b/>
          <w:bCs/>
        </w:rPr>
        <w:t xml:space="preserve">3. ОПМ. ОПРОСНИК ПОЗНАВАТЕЛЬНОЙ МОТИВАЦИИ</w:t>
      </w:r>
    </w:p>
    <w:p>
      <w:pPr>
        <w:spacing w:after="100" w:line="312"/>
        <w:jc w:val="both"/>
      </w:pPr>
      <w:r>
        <w:t xml:space="preserve">Опросник состоит из 10 пунктов, разделённых на две субшкалы по 5 пунктов каждая: ВМ (внутренняя мотивация) и ПИ (познавательный интерес). Шкала ответа: «да» — 3 балла, «иногда» — 2 балла, «нет» — 1 балл. Суммарный балл по каждой субшкале: 5–15. Суммарный балл по опроснику: 10–30.</w:t>
      </w:r>
    </w:p>
    <w:p>
      <w:pPr>
        <w:spacing w:after="100" w:line="312"/>
        <w:jc w:val="both"/>
      </w:pPr>
      <w:r>
        <w:t xml:space="preserve">Для 1–2 классов опросник заполняется устно: педагог зачитывает каждое утверждение, ребёнок поднимает цветную карточку (зелёная — «да», жёлтая — «иногда», красная — «нет»). Для 3–4 классов опросник заполняется письменно: ребёнок отмечает выбранный вариант в бланке.</w:t>
      </w:r>
    </w:p>
    <w:p>
      <w:pPr>
        <w:spacing w:after="100" w:line="312"/>
        <w:jc w:val="both"/>
      </w:pPr>
      <w:r>
        <w:rPr>
          <w:b/>
          <w:bCs/>
        </w:rPr>
        <w:t xml:space="preserve">Замечание для учителя. </w:t>
      </w:r>
      <w:r>
        <w:t xml:space="preserve">Опросник опирается на двухфакторную модель внутренней мотивации и познавательного интереса (Гордеева, 2021). Формулировки пунктов адаптированы под возраст 7–10 лет и под содержательную специфику курса нестандартных задач.</w:t>
      </w:r>
    </w:p>
    <w:p>
      <w:pPr>
        <w:pStyle w:val="Heading2"/>
        <w:spacing w:after="140" w:before="280"/>
      </w:pPr>
      <w:r>
        <w:rPr>
          <w:b/>
          <w:bCs/>
        </w:rPr>
        <w:t xml:space="preserve">3.1. Бланк для 1–2 классов (устная форма)</w:t>
      </w:r>
    </w:p>
    <w:p>
      <w:pPr>
        <w:spacing w:after="80" w:before="80"/>
      </w:pPr>
      <w:r>
        <w:rPr>
          <w:b/>
          <w:bCs/>
        </w:rPr>
        <w:t xml:space="preserve">Имя, фамилия ученика:</w:t>
      </w:r>
      <w:r>
        <w:t xml:space="preserve"> ____________________________________________________________</w:t>
      </w:r>
    </w:p>
    <w:p>
      <w:pPr>
        <w:spacing w:after="80" w:before="80"/>
      </w:pPr>
      <w:r>
        <w:rPr>
          <w:b/>
          <w:bCs/>
        </w:rPr>
        <w:t xml:space="preserve">Класс:</w:t>
      </w:r>
      <w:r>
        <w:t xml:space="preserve"> ____________________________________________________________</w:t>
      </w:r>
    </w:p>
    <w:p>
      <w:pPr>
        <w:spacing w:after="80" w:before="80"/>
      </w:pPr>
      <w:r>
        <w:rPr>
          <w:b/>
          <w:bCs/>
        </w:rPr>
        <w:t xml:space="preserve">Дата:</w:t>
      </w:r>
      <w:r>
        <w:t xml:space="preserve"> ____________________________________________________________</w:t>
      </w:r>
    </w:p>
    <w:p>
      <w:pPr>
        <w:spacing w:after="100" w:line="312"/>
        <w:jc w:val="both"/>
      </w:pPr>
      <w:r>
        <w:t xml:space="preserve"/>
      </w:r>
    </w:p>
    <w:p>
      <w:pPr>
        <w:spacing w:after="100" w:line="312"/>
        <w:jc w:val="both"/>
      </w:pPr>
      <w:r>
        <w:t xml:space="preserve">Инструкция педагогу. Прочитайте ребёнку каждое утверждение медленно и понятно. Покажите ребёнку три карточки: зелёную («да»), жёлтую («иногда, не всегда»), красную («нет»). Попросите поднять ту карточку, которая больше всего подходит к тому, что чувствует или думает ребёнок. Не торопите ребёнка. При необходимости поясните утверждение собственными словами, не меняя его смысла.</w:t>
      </w:r>
    </w:p>
    <w:p>
      <w:pPr>
        <w:spacing w:after="100" w:line="312"/>
        <w:jc w:val="both"/>
      </w:pPr>
      <w:r>
        <w:rPr>
          <w:b/>
          <w:bCs/>
        </w:rPr>
        <w:t xml:space="preserve">Инструкция, которую педагог говорит ребёнку:</w:t>
      </w:r>
      <w:r>
        <w:t xml:space="preserve"> «Сейчас я буду читать тебе небольшие фразы про математику и задачи. После каждой фразы подними одну карточку. Зелёную — если это про тебя, ты так чувствуешь или думаешь. Жёлтую — если иногда так бывает, а иногда нет. Красную — если это совсем не про тебя. Здесь нет правильных или неправильных ответов».</w:t>
      </w:r>
    </w:p>
    <w:p>
      <w:pPr>
        <w:spacing w:after="100" w:line="312"/>
        <w:jc w:val="both"/>
      </w:pPr>
      <w:r>
        <w:t xml:space="preserve"/>
      </w:r>
    </w:p>
    <w:p>
      <w:pPr>
        <w:spacing w:after="100" w:line="312"/>
        <w:jc w:val="both"/>
      </w:pPr>
      <w:r>
        <w:rPr>
          <w:b/>
          <w:bCs/>
        </w:rPr>
        <w:t xml:space="preserve">Утверждения и фиксация ответа.</w:t>
      </w:r>
      <w:r>
        <w:t xml:space="preserve"> Обведите выбранную карточку в столбце «Ответ» по каждому пункту.</w:t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1880"/>
      </w:tblGrid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Шкала</w:t>
            </w:r>
          </w:p>
        </w:tc>
        <w:tc>
          <w:tcPr>
            <w:tcW w:type="dxa" w:w="5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Утверждение</w:t>
            </w:r>
          </w:p>
        </w:tc>
        <w:tc>
          <w:tcPr>
            <w:tcW w:type="dxa" w:w="1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Ответ ребёнка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1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ВМ</w:t>
            </w:r>
          </w:p>
        </w:tc>
        <w:tc>
          <w:tcPr>
            <w:tcW w:type="dxa" w:w="5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Мне нравится решать трудные задачи, даже если я долго не могу их решить.</w:t>
            </w:r>
          </w:p>
        </w:tc>
        <w:tc>
          <w:tcPr>
            <w:tcW w:type="dxa" w:w="1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 зелёная   /   жёлтая   /   красная  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2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ВМ</w:t>
            </w:r>
          </w:p>
        </w:tc>
        <w:tc>
          <w:tcPr>
            <w:tcW w:type="dxa" w:w="5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Когда у меня не получается решить задачу, я хочу попробовать ещё раз.</w:t>
            </w:r>
          </w:p>
        </w:tc>
        <w:tc>
          <w:tcPr>
            <w:tcW w:type="dxa" w:w="1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 зелёная   /   жёлтая   /   красная  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3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ВМ</w:t>
            </w:r>
          </w:p>
        </w:tc>
        <w:tc>
          <w:tcPr>
            <w:tcW w:type="dxa" w:w="5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Я думаю про задачу даже после урока, по дороге домой или дома.</w:t>
            </w:r>
          </w:p>
        </w:tc>
        <w:tc>
          <w:tcPr>
            <w:tcW w:type="dxa" w:w="1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 зелёная   /   жёлтая   /   красная  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4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ВМ</w:t>
            </w:r>
          </w:p>
        </w:tc>
        <w:tc>
          <w:tcPr>
            <w:tcW w:type="dxa" w:w="5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Мне интересно решать задачу, даже если за неё не ставят оценку.</w:t>
            </w:r>
          </w:p>
        </w:tc>
        <w:tc>
          <w:tcPr>
            <w:tcW w:type="dxa" w:w="1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 зелёная   /   жёлтая   /   красная  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5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ВМ</w:t>
            </w:r>
          </w:p>
        </w:tc>
        <w:tc>
          <w:tcPr>
            <w:tcW w:type="dxa" w:w="5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Когда я наконец понимаю задачу, мне становится радостно.</w:t>
            </w:r>
          </w:p>
        </w:tc>
        <w:tc>
          <w:tcPr>
            <w:tcW w:type="dxa" w:w="1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 зелёная   /   жёлтая   /   красная  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6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ПИ</w:t>
            </w:r>
          </w:p>
        </w:tc>
        <w:tc>
          <w:tcPr>
            <w:tcW w:type="dxa" w:w="5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Мне интересно узнавать, почему числа ведут себя так, а не иначе.</w:t>
            </w:r>
          </w:p>
        </w:tc>
        <w:tc>
          <w:tcPr>
            <w:tcW w:type="dxa" w:w="1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 зелёная   /   жёлтая   /   красная  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7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ПИ</w:t>
            </w:r>
          </w:p>
        </w:tc>
        <w:tc>
          <w:tcPr>
            <w:tcW w:type="dxa" w:w="5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Когда мы придумываем задачи сами, мне это нравится больше, чем решать готовые.</w:t>
            </w:r>
          </w:p>
        </w:tc>
        <w:tc>
          <w:tcPr>
            <w:tcW w:type="dxa" w:w="1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 зелёная   /   жёлтая   /   красная  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8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ПИ</w:t>
            </w:r>
          </w:p>
        </w:tc>
        <w:tc>
          <w:tcPr>
            <w:tcW w:type="dxa" w:w="5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Я люблю смотреть, как разные задачи связаны друг с другом.</w:t>
            </w:r>
          </w:p>
        </w:tc>
        <w:tc>
          <w:tcPr>
            <w:tcW w:type="dxa" w:w="1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 зелёная   /   жёлтая   /   красная  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9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ПИ</w:t>
            </w:r>
          </w:p>
        </w:tc>
        <w:tc>
          <w:tcPr>
            <w:tcW w:type="dxa" w:w="5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Мне нравится, когда в задаче есть подвох или хитрость.</w:t>
            </w:r>
          </w:p>
        </w:tc>
        <w:tc>
          <w:tcPr>
            <w:tcW w:type="dxa" w:w="1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 зелёная   /   жёлтая   /   красная  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10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ПИ</w:t>
            </w:r>
          </w:p>
        </w:tc>
        <w:tc>
          <w:tcPr>
            <w:tcW w:type="dxa" w:w="5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Когда у задачи есть несколько способов решения, я хочу узнать их все.</w:t>
            </w:r>
          </w:p>
        </w:tc>
        <w:tc>
          <w:tcPr>
            <w:tcW w:type="dxa" w:w="1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 зелёная   /   жёлтая   /   красная  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3.2. Бланк для 3–4 классов (письменная форма)</w:t>
      </w:r>
    </w:p>
    <w:p>
      <w:pPr>
        <w:spacing w:after="80" w:before="80"/>
      </w:pPr>
      <w:r>
        <w:rPr>
          <w:b/>
          <w:bCs/>
        </w:rPr>
        <w:t xml:space="preserve">Имя, фамилия ученика:</w:t>
      </w:r>
      <w:r>
        <w:t xml:space="preserve"> ____________________________________________________________</w:t>
      </w:r>
    </w:p>
    <w:p>
      <w:pPr>
        <w:spacing w:after="80" w:before="80"/>
      </w:pPr>
      <w:r>
        <w:rPr>
          <w:b/>
          <w:bCs/>
        </w:rPr>
        <w:t xml:space="preserve">Класс:</w:t>
      </w:r>
      <w:r>
        <w:t xml:space="preserve"> ____________________________________________________________</w:t>
      </w:r>
    </w:p>
    <w:p>
      <w:pPr>
        <w:spacing w:after="80" w:before="80"/>
      </w:pPr>
      <w:r>
        <w:rPr>
          <w:b/>
          <w:bCs/>
        </w:rPr>
        <w:t xml:space="preserve">Дата:</w:t>
      </w:r>
      <w:r>
        <w:t xml:space="preserve"> ____________________________________________________________</w:t>
      </w:r>
    </w:p>
    <w:p>
      <w:pPr>
        <w:spacing w:after="100" w:line="312"/>
        <w:jc w:val="both"/>
      </w:pPr>
      <w:r>
        <w:t xml:space="preserve"/>
      </w:r>
    </w:p>
    <w:p>
      <w:pPr>
        <w:spacing w:after="100" w:line="312"/>
        <w:jc w:val="both"/>
      </w:pPr>
      <w:r>
        <w:rPr>
          <w:b/>
          <w:bCs/>
        </w:rPr>
        <w:t xml:space="preserve">Инструкция ученику.</w:t>
      </w:r>
      <w:r>
        <w:t xml:space="preserve"> Прочитай каждое утверждение и поставь галочку в один из трёх столбцов: «Да» — это про меня, я так чувствую или думаю; «Иногда» — иногда бывает, иногда нет; «Нет» — это совсем не про меня. Здесь нет правильных или неправильных ответов. Отметь каждое утверждение.</w:t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200"/>
        <w:gridCol w:w="700"/>
        <w:gridCol w:w="800"/>
        <w:gridCol w:w="680"/>
      </w:tblGrid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Шкала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Утверждение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Да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Иногда</w:t>
            </w:r>
          </w:p>
        </w:tc>
        <w:tc>
          <w:tcPr>
            <w:tcW w:type="dxa" w:w="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Нет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1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ВМ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Мне нравится решать трудные задачи, даже если я долго не могу их решить.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2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ВМ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Когда у меня не получается решить задачу, я хочу попробовать ещё раз.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3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ВМ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Я думаю про задачу даже после урока, по дороге домой или дома.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4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ВМ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Мне интересно решать задачу, даже если за неё не ставят оценку.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5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ВМ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Когда я наконец понимаю задачу, мне становится радостно.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6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ПИ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Мне интересно узнавать, почему числа ведут себя так, а не иначе.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7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ПИ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Когда мы придумываем задачи сами, мне это нравится больше, чем решать готовые.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8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ПИ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Я люблю смотреть, как разные задачи связаны друг с другом.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9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ПИ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Мне нравится, когда в задаче есть подвох или хитрость.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10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ПИ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Когда у задачи есть несколько способов решения, я хочу узнать их все.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3.3. Ключ обработки результатов</w:t>
      </w:r>
    </w:p>
    <w:p>
      <w:pPr>
        <w:spacing w:after="100" w:line="312"/>
        <w:jc w:val="both"/>
      </w:pPr>
      <w:r>
        <w:rPr>
          <w:b/>
          <w:bCs/>
        </w:rPr>
        <w:t xml:space="preserve">Подсчёт.</w:t>
      </w:r>
      <w:r>
        <w:t xml:space="preserve"> Каждый ответ оценивается: «Да» — 3 балла; «Иногда» — 2 балла; «Нет» — 1 балл. Подсчитайте отдельно сумму баллов по субшкале ВМ (пункты 1–5) и по субшкале ПИ (пункты 6–10).</w:t>
      </w:r>
    </w:p>
    <w:p>
      <w:pPr>
        <w:spacing w:after="100" w:line="312"/>
        <w:jc w:val="both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</w:rPr>
        <w:t xml:space="preserve">Бланк подсчёта (для учителя)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200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Субшкала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Сумма (5–15)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Уровень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ВМ — Внутренняя мотивация (пункты 1–5)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11–15 — высокая; 8–10 — средняя; 5–7 — низкая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ПИ — Познавательный интерес (пункты 6–10)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t xml:space="preserve"> 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11–15 — высокий; 8–10 — средний; 5–7 — низкий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Σ ОПМ (10–30)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t xml:space="preserve">22–30 — высокий общий уровень; 16–21 — средний; 10–15 — низкий</w:t>
            </w:r>
          </w:p>
        </w:tc>
      </w:tr>
    </w:tbl>
    <w:p>
      <w:pPr>
        <w:spacing w:after="100" w:line="312"/>
        <w:jc w:val="both"/>
      </w:pPr>
      <w:r>
        <w:t xml:space="preserve"/>
      </w:r>
    </w:p>
    <w:p>
      <w:pPr>
        <w:spacing w:after="100" w:line="312"/>
        <w:jc w:val="both"/>
      </w:pPr>
      <w:r>
        <w:rPr>
          <w:b/>
          <w:bCs/>
        </w:rPr>
        <w:t xml:space="preserve">Использование результатов.</w:t>
      </w:r>
      <w:r>
        <w:t xml:space="preserve"> Балл ОПМ интерпретируется в связке с баллом ДТМ. Расхождение между уровнями диагностически информативно: высокий ОПМ при низком ДТМ указывает на интерес без сложившихся учебных умений (педагогическая задача — постепенное наращивание сложности); высокий ДТМ при низком ОПМ — на освоенные приёмы без внутренней мотивации (педагогическая задача — поиск содержательного интереса, рекомендация задач на «свою» тему ребёнка).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2026-05-12T09:43:11.157Z</dcterms:created>
  <dcterms:modified xsi:type="dcterms:W3CDTF">2026-05-12T09:43:11.158Z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