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D8A72"/>
          <w:sz w:val="64"/>
          <w:szCs w:val="64"/>
        </w:rPr>
        <w:t xml:space="preserve">TERRIUM</w:t>
      </w:r>
    </w:p>
    <w:p>
      <w:pPr>
        <w:spacing w:after="40"/>
      </w:pPr>
      <w:r>
        <w:rPr>
          <w:rFonts w:ascii="Arial" w:cs="Arial" w:eastAsia="Arial" w:hAnsi="Arial"/>
          <w:i/>
          <w:iCs/>
          <w:color w:val="666666"/>
          <w:sz w:val="26"/>
          <w:szCs w:val="26"/>
        </w:rPr>
        <w:t xml:space="preserve">Terrium runs the science.</w:t>
      </w:r>
    </w:p>
    <w:p>
      <w:pPr>
        <w:pBdr>
          <w:bottom w:val="single" w:color="1D8A72" w:sz="4" w:space="8"/>
        </w:pBdr>
        <w:spacing w:after="200" w:before="200"/>
      </w:pPr>
    </w:p>
    <w:p>
      <w:pPr>
        <w:spacing w:after="300"/>
      </w:pPr>
      <w:r>
        <w:rPr>
          <w:rFonts w:ascii="Arial" w:cs="Arial" w:eastAsia="Arial" w:hAnsi="Arial"/>
          <w:color w:val="1B1B1B"/>
          <w:sz w:val="24"/>
          <w:szCs w:val="24"/>
        </w:rPr>
        <w:t xml:space="preserve">An AI agent pipeline that builds, runs, and verifies scientific simulations — delivered as a live, interactive notebook in the browser.</w:t>
      </w:r>
    </w:p>
    <w:p>
      <w:pPr>
        <w:spacing w:after="40"/>
      </w:pPr>
      <w:r>
        <w:rPr>
          <w:rFonts w:ascii="Arial" w:cs="Arial" w:eastAsia="Arial" w:hAnsi="Arial"/>
          <w:color w:val="666666"/>
          <w:sz w:val="20"/>
          <w:szCs w:val="20"/>
        </w:rPr>
        <w:t xml:space="preserve">Version 1.0  |  July 2026  |  Prepared by Smyan Reddy</w:t>
      </w:r>
    </w:p>
    <w:p>
      <w:r>
        <w:br w:type="page"/>
      </w:r>
    </w:p>
    <w:p>
      <w:pPr>
        <w:pStyle w:val="Heading1"/>
      </w:pPr>
      <w:r>
        <w:rPr>
          <w:rFonts w:ascii="Arial" w:cs="Arial" w:eastAsia="Arial" w:hAnsi="Arial"/>
        </w:rPr>
        <w:t xml:space="preserve">1. The pitch</w:t>
      </w:r>
    </w:p>
    <w:p>
      <w:pPr>
        <w:pStyle w:val="Heading2"/>
      </w:pPr>
      <w:r>
        <w:rPr>
          <w:rFonts w:ascii="Arial" w:cs="Arial" w:eastAsia="Arial" w:hAnsi="Arial"/>
        </w:rPr>
        <w:t xml:space="preserve">1.1 The problem</w:t>
      </w:r>
    </w:p>
    <w:p>
      <w:pPr>
        <w:spacing w:after="160"/>
      </w:pPr>
      <w:r>
        <w:rPr>
          <w:rFonts w:ascii="Arial" w:cs="Arial" w:eastAsia="Arial" w:hAnsi="Arial"/>
          <w:color w:val="1B1B1B"/>
          <w:sz w:val="22"/>
          <w:szCs w:val="22"/>
        </w:rPr>
        <w:t xml:space="preserve">Running a scientific simulation correctly, whether it's molecular dynamics, epidemiological modeling, or enzyme kinetics, requires knowing the right equations, the right parameters, and the right software, before you ever get to a result. Most researchers and students learn this the expensive way: through trial and error, wasted compute time, and setup mistakes caught only after a run fails or produces a wrong answer that looks plausible.</w:t>
      </w:r>
    </w:p>
    <w:p>
      <w:pPr>
        <w:spacing w:after="160"/>
      </w:pPr>
      <w:r>
        <w:rPr>
          <w:rFonts w:ascii="Arial" w:cs="Arial" w:eastAsia="Arial" w:hAnsi="Arial"/>
          <w:color w:val="1B1B1B"/>
          <w:sz w:val="22"/>
          <w:szCs w:val="22"/>
        </w:rPr>
        <w:t xml:space="preserve">General-purpose AI tools make this worse, not better. An LLM asked to "write me a molecular dynamics simulation" will confidently produce code with invented constants and plausible-but-wrong physics, because nothing forces it to check its own claims against a real source.</w:t>
      </w:r>
    </w:p>
    <w:p>
      <w:pPr>
        <w:pStyle w:val="Heading2"/>
      </w:pPr>
      <w:r>
        <w:rPr>
          <w:rFonts w:ascii="Arial" w:cs="Arial" w:eastAsia="Arial" w:hAnsi="Arial"/>
        </w:rPr>
        <w:t xml:space="preserve">1.2 The insight</w:t>
      </w:r>
    </w:p>
    <w:p>
      <w:pPr>
        <w:spacing w:after="160"/>
      </w:pPr>
      <w:r>
        <w:rPr>
          <w:rFonts w:ascii="Arial" w:cs="Arial" w:eastAsia="Arial" w:hAnsi="Arial"/>
          <w:color w:val="1B1B1B"/>
          <w:sz w:val="22"/>
          <w:szCs w:val="22"/>
        </w:rPr>
        <w:t xml:space="preserve">The founder has lived this problem directly — including a real exchange with a working bioinformatics lab director who asked, before anything else, whether the founder had access to high-performance computing to run simulations at all. Access to correct setup and to compute are the two real walls, and most "AI for science" tools address neither.</w:t>
      </w:r>
    </w:p>
    <w:p>
      <w:pPr>
        <w:pStyle w:val="Heading2"/>
      </w:pPr>
      <w:r>
        <w:rPr>
          <w:rFonts w:ascii="Arial" w:cs="Arial" w:eastAsia="Arial" w:hAnsi="Arial"/>
        </w:rPr>
        <w:t xml:space="preserve">1.3 What Terrium does differently</w:t>
      </w:r>
    </w:p>
    <w:p>
      <w:pPr>
        <w:spacing w:after="160"/>
      </w:pPr>
      <w:r>
        <w:rPr>
          <w:rFonts w:ascii="Arial" w:cs="Arial" w:eastAsia="Arial" w:hAnsi="Arial"/>
          <w:color w:val="1B1B1B"/>
          <w:sz w:val="22"/>
          <w:szCs w:val="22"/>
        </w:rPr>
        <w:t xml:space="preserve">Terrium does not just chat about science. It runs it. Given a plain-English question, a team of specialized AI agents picks the right simulation type, configures it using real equation-pinned constants, executes it directly where possible, and — critically — checks its own output for hallucinated facts and broken code before a human ever sees it. The result is delivered as a live, interactive notebook in the browser, not a static answer.</w:t>
      </w:r>
    </w:p>
    <w:p>
      <w:pPr>
        <w:pStyle w:val="Heading2"/>
      </w:pPr>
      <w:r>
        <w:rPr>
          <w:rFonts w:ascii="Arial" w:cs="Arial" w:eastAsia="Arial" w:hAnsi="Arial"/>
        </w:rPr>
        <w:t xml:space="preserve">1.4 Why now</w:t>
      </w:r>
    </w:p>
    <w:p>
      <w:pPr>
        <w:spacing w:after="160"/>
      </w:pPr>
      <w:r>
        <w:rPr>
          <w:rFonts w:ascii="Arial" w:cs="Arial" w:eastAsia="Arial" w:hAnsi="Arial"/>
          <w:color w:val="1B1B1B"/>
          <w:sz w:val="22"/>
          <w:szCs w:val="22"/>
        </w:rPr>
        <w:t xml:space="preserve">LLMs are capable enough to write real simulation code, but not yet trustworthy enough to run unsupervised in science, where a wrong constant isn't a typo, it's a wasted week of compute or a false result. The gap between "can write code" and "can be trusted to write correct scientific code" is exactly what Terrium's verification layer is built to close.</w:t>
      </w:r>
    </w:p>
    <w:p>
      <w:pPr>
        <w:pStyle w:val="Heading2"/>
      </w:pPr>
      <w:r>
        <w:rPr>
          <w:rFonts w:ascii="Arial" w:cs="Arial" w:eastAsia="Arial" w:hAnsi="Arial"/>
        </w:rPr>
        <w:t xml:space="preserve">1.5 The ask</w:t>
      </w:r>
    </w:p>
    <w:p>
      <w:pPr>
        <w:spacing w:after="160"/>
      </w:pPr>
      <w:r>
        <w:rPr>
          <w:rFonts w:ascii="Arial" w:cs="Arial" w:eastAsia="Arial" w:hAnsi="Arial"/>
          <w:color w:val="1B1B1B"/>
          <w:sz w:val="22"/>
          <w:szCs w:val="22"/>
        </w:rPr>
        <w:t xml:space="preserve">Terrium is pre-validation, pre-revenue, and actively closing outstanding questions with real researchers before committing further build time. What's being asked for at this stage: introductions to computational science course instructors who might pilot this, technical mentorship on multi-agent systems and verification architecture, and eventually pre-seed capital once a working demo and a named paying pilot exist.</w:t>
      </w:r>
    </w:p>
    <w:p>
      <w:r>
        <w:br w:type="page"/>
      </w:r>
    </w:p>
    <w:p>
      <w:pPr>
        <w:pStyle w:val="Heading1"/>
      </w:pPr>
      <w:r>
        <w:rPr>
          <w:rFonts w:ascii="Arial" w:cs="Arial" w:eastAsia="Arial" w:hAnsi="Arial"/>
        </w:rPr>
        <w:t xml:space="preserve">2. The product, in full</w:t>
      </w:r>
    </w:p>
    <w:p>
      <w:pPr>
        <w:pStyle w:val="Heading2"/>
      </w:pPr>
      <w:r>
        <w:rPr>
          <w:rFonts w:ascii="Arial" w:cs="Arial" w:eastAsia="Arial" w:hAnsi="Arial"/>
        </w:rPr>
        <w:t xml:space="preserve">2.1 Core behavior</w:t>
      </w:r>
    </w:p>
    <w:p>
      <w:pPr>
        <w:spacing w:after="160"/>
      </w:pPr>
      <w:r>
        <w:rPr>
          <w:rFonts w:ascii="Arial" w:cs="Arial" w:eastAsia="Arial" w:hAnsi="Arial"/>
          <w:color w:val="1B1B1B"/>
          <w:sz w:val="22"/>
          <w:szCs w:val="22"/>
        </w:rPr>
        <w:t xml:space="preserve">A user opens Terrium and types a plain-English scientific question or uploads existing setup files (e.g. a topology file, a set of primer sequences, a set of population parameters). Terrium determines what kind of simulation is being asked for, builds the correct configuration for it, and attempts to run it directly. If the simulation can be executed end-to-end within the platform, it runs immediately and the user receives a working, interactive result within the same session. If it cannot be run directly, because it requires external compute the user must provide, or requires a judgment call only the user can make, Terrium instead prepares the entire configuration so the user starts from a complete, correct setup rather than a blank file.</w:t>
      </w:r>
    </w:p>
    <w:p>
      <w:pPr>
        <w:pStyle w:val="Heading2"/>
      </w:pPr>
      <w:r>
        <w:rPr>
          <w:rFonts w:ascii="Arial" w:cs="Arial" w:eastAsia="Arial" w:hAnsi="Arial"/>
        </w:rPr>
        <w:t xml:space="preserve">2.2 The deliverable</w:t>
      </w:r>
    </w:p>
    <w:p>
      <w:pPr>
        <w:spacing w:after="160"/>
      </w:pPr>
      <w:r>
        <w:rPr>
          <w:rFonts w:ascii="Arial" w:cs="Arial" w:eastAsia="Arial" w:hAnsi="Arial"/>
          <w:color w:val="1B1B1B"/>
          <w:sz w:val="22"/>
          <w:szCs w:val="22"/>
        </w:rPr>
        <w:t xml:space="preserve">Every Terrium output is a live notebook running in the browser. Execution location is tiered by domain, based on verified technical constraints — not a single blanket claim:</w:t>
      </w:r>
    </w:p>
    <w:p>
      <w:pPr>
        <w:pStyle w:val="ListParagraph"/>
        <w:numPr>
          <w:ilvl w:val="0"/>
          <w:numId w:val="2"/>
        </w:numPr>
        <w:spacing w:after="80"/>
      </w:pPr>
      <w:r>
        <w:rPr>
          <w:rFonts w:ascii="Arial" w:cs="Arial" w:eastAsia="Arial" w:hAnsi="Arial"/>
          <w:b/>
          <w:bCs/>
          <w:color w:val="1B1B1B"/>
          <w:sz w:val="22"/>
          <w:szCs w:val="22"/>
        </w:rPr>
        <w:t xml:space="preserve">Tier 1, fully local (PCR, Monte Carlo, population genetics): </w:t>
      </w:r>
      <w:r>
        <w:rPr>
          <w:rFonts w:ascii="Arial" w:cs="Arial" w:eastAsia="Arial" w:hAnsi="Arial"/>
          <w:color w:val="1B1B1B"/>
          <w:sz w:val="22"/>
          <w:szCs w:val="22"/>
        </w:rPr>
        <w:t xml:space="preserve">runs entirely client-side via Pyodide (Python compiled to WebAssembly). Zero server cost; nothing leaves the user's machine. Verified: NumPy, SciPy, Pandas, Matplotlib, and scikit-learn are officially supported and bundled in Pyodide.</w:t>
      </w:r>
    </w:p>
    <w:p>
      <w:pPr>
        <w:pStyle w:val="ListParagraph"/>
        <w:numPr>
          <w:ilvl w:val="0"/>
          <w:numId w:val="2"/>
        </w:numPr>
        <w:spacing w:after="80"/>
      </w:pPr>
      <w:r>
        <w:rPr>
          <w:rFonts w:ascii="Arial" w:cs="Arial" w:eastAsia="Arial" w:hAnsi="Arial"/>
          <w:b/>
          <w:bCs/>
          <w:color w:val="1B1B1B"/>
          <w:sz w:val="22"/>
          <w:szCs w:val="22"/>
        </w:rPr>
        <w:t xml:space="preserve">Tier 2, local via SciPy (SIR/SEIR, Michaelis-Menten kinetics): </w:t>
      </w:r>
      <w:r>
        <w:rPr>
          <w:rFonts w:ascii="Arial" w:cs="Arial" w:eastAsia="Arial" w:hAnsi="Arial"/>
          <w:color w:val="1B1B1B"/>
          <w:sz w:val="22"/>
          <w:szCs w:val="22"/>
        </w:rPr>
        <w:t xml:space="preserve">these are ODE-based systems, solved locally using scipy.integrate.solve_ivp (Pyodide-compatible), with Matplotlib/Plotly for interactive plots. This substitutes for Tellurium specifically in browser-only mode.</w:t>
      </w:r>
    </w:p>
    <w:p>
      <w:pPr>
        <w:pStyle w:val="ListParagraph"/>
        <w:numPr>
          <w:ilvl w:val="0"/>
          <w:numId w:val="2"/>
        </w:numPr>
        <w:spacing w:after="80"/>
      </w:pPr>
      <w:r>
        <w:rPr>
          <w:rFonts w:ascii="Arial" w:cs="Arial" w:eastAsia="Arial" w:hAnsi="Arial"/>
          <w:b/>
          <w:bCs/>
          <w:color w:val="1B1B1B"/>
          <w:sz w:val="22"/>
          <w:szCs w:val="22"/>
        </w:rPr>
        <w:t xml:space="preserve">Tier 3, server-side (molecular dynamics, and any future domain needing true SBML/Tellurium support): </w:t>
      </w:r>
      <w:r>
        <w:rPr>
          <w:rFonts w:ascii="Arial" w:cs="Arial" w:eastAsia="Arial" w:hAnsi="Arial"/>
          <w:color w:val="1B1B1B"/>
          <w:sz w:val="22"/>
          <w:szCs w:val="22"/>
        </w:rPr>
        <w:t xml:space="preserve">runs on a real Python backend (FastAPI). The notebook interface is identical for the user; only execution location differs, labeled honestly per domain.</w:t>
      </w:r>
    </w:p>
    <w:p>
      <w:pPr>
        <w:pStyle w:val="ListParagraph"/>
        <w:numPr>
          <w:ilvl w:val="0"/>
          <w:numId w:val="2"/>
        </w:numPr>
        <w:spacing w:after="80"/>
      </w:pPr>
      <w:r>
        <w:rPr>
          <w:rFonts w:ascii="Arial" w:cs="Arial" w:eastAsia="Arial" w:hAnsi="Arial"/>
          <w:b/>
          <w:bCs/>
          <w:color w:val="1B1B1B"/>
          <w:sz w:val="22"/>
          <w:szCs w:val="22"/>
        </w:rPr>
        <w:t xml:space="preserve">Interactive in every tier: </w:t>
      </w:r>
      <w:r>
        <w:rPr>
          <w:rFonts w:ascii="Arial" w:cs="Arial" w:eastAsia="Arial" w:hAnsi="Arial"/>
          <w:color w:val="1B1B1B"/>
          <w:sz w:val="22"/>
          <w:szCs w:val="22"/>
        </w:rPr>
        <w:t xml:space="preserve">users can change a parameter and re-run a cell live.</w:t>
      </w:r>
    </w:p>
    <w:p>
      <w:pPr>
        <w:pStyle w:val="ListParagraph"/>
        <w:numPr>
          <w:ilvl w:val="0"/>
          <w:numId w:val="2"/>
        </w:numPr>
        <w:spacing w:after="80"/>
      </w:pPr>
      <w:r>
        <w:rPr>
          <w:rFonts w:ascii="Arial" w:cs="Arial" w:eastAsia="Arial" w:hAnsi="Arial"/>
          <w:b/>
          <w:bCs/>
          <w:color w:val="1B1B1B"/>
          <w:sz w:val="22"/>
          <w:szCs w:val="22"/>
        </w:rPr>
        <w:t xml:space="preserve">Explain Why throughout: </w:t>
      </w:r>
      <w:r>
        <w:rPr>
          <w:rFonts w:ascii="Arial" w:cs="Arial" w:eastAsia="Arial" w:hAnsi="Arial"/>
          <w:color w:val="1B1B1B"/>
          <w:sz w:val="22"/>
          <w:szCs w:val="22"/>
        </w:rPr>
        <w:t xml:space="preserve">every parameter and agent decision carries an inline, plain-language explanation with its literature source.</w:t>
      </w:r>
    </w:p>
    <w:p>
      <w:pPr>
        <w:pStyle w:val="ListParagraph"/>
        <w:numPr>
          <w:ilvl w:val="0"/>
          <w:numId w:val="2"/>
        </w:numPr>
        <w:spacing w:after="80"/>
      </w:pPr>
      <w:r>
        <w:rPr>
          <w:rFonts w:ascii="Arial" w:cs="Arial" w:eastAsia="Arial" w:hAnsi="Arial"/>
          <w:b/>
          <w:bCs/>
          <w:color w:val="1B1B1B"/>
          <w:sz w:val="22"/>
          <w:szCs w:val="22"/>
        </w:rPr>
        <w:t xml:space="preserve">A visible trust trail: </w:t>
      </w:r>
      <w:r>
        <w:rPr>
          <w:rFonts w:ascii="Arial" w:cs="Arial" w:eastAsia="Arial" w:hAnsi="Arial"/>
          <w:color w:val="1B1B1B"/>
          <w:sz w:val="22"/>
          <w:szCs w:val="22"/>
        </w:rPr>
        <w:t xml:space="preserve">the notebook shows what the hallucination-check and critique agents verified or flagged — the user sees the reasoning, not just a finished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A441" w:sz="4"/>
              <w:left w:val="single" w:color="D9A441" w:sz="4"/>
              <w:bottom w:val="single" w:color="D9A441" w:sz="4"/>
              <w:right w:val="single" w:color="D9A441" w:sz="4"/>
            </w:tcBorders>
            <w:shd w:fill="FFF3E0" w:val="clear"/>
            <w:tcMar>
              <w:top w:type="dxa" w:w="160"/>
              <w:left w:type="dxa" w:w="200"/>
              <w:bottom w:type="dxa" w:w="160"/>
              <w:right w:type="dxa" w:w="200"/>
            </w:tcMar>
          </w:tcPr>
          <w:p>
            <w:r>
              <w:rPr>
                <w:rFonts w:ascii="Arial" w:cs="Arial" w:eastAsia="Arial" w:hAnsi="Arial"/>
                <w:b/>
                <w:bCs/>
                <w:color w:val="1B1B1B"/>
                <w:sz w:val="20"/>
                <w:szCs w:val="20"/>
              </w:rPr>
              <w:t xml:space="preserve">Verified finding: Tellurium does not run in the browser</w:t>
            </w:r>
          </w:p>
          <w:p>
            <w:pPr>
              <w:spacing w:before="60"/>
            </w:pPr>
            <w:r>
              <w:rPr>
                <w:rFonts w:ascii="Arial" w:cs="Arial" w:eastAsia="Arial" w:hAnsi="Arial"/>
                <w:color w:val="1B1B1B"/>
                <w:sz w:val="20"/>
                <w:szCs w:val="20"/>
              </w:rPr>
              <w:t xml:space="preserve">Confirmed via two independent checks: libRoadRunner (the compiled C++ engine Tellurium wraps) has no WebAssembly build — its latest stable release (2.6.0, March 2024) remains native C/C++/Python/Fortran, with no WASM target anywhere in its build system, documentation, or issue tracker. Pyodide's own supported-package list does not include Tellurium or roadrunner. This is a genuine binary-compatibility wall, not a configuration issue — hence the tiered execution model above rather than a single "runs fully in-browser" claim.</w:t>
            </w:r>
          </w:p>
        </w:tc>
      </w:tr>
    </w:tbl>
    <w:p>
      <w:pPr>
        <w:spacing w:after="200"/>
      </w:pPr>
    </w:p>
    <w:p>
      <w:pPr>
        <w:pStyle w:val="Heading2"/>
      </w:pPr>
      <w:r>
        <w:rPr>
          <w:rFonts w:ascii="Arial" w:cs="Arial" w:eastAsia="Arial" w:hAnsi="Arial"/>
        </w:rPr>
        <w:t xml:space="preserve">2.3 The agent pipeline</w:t>
      </w:r>
    </w:p>
    <w:p>
      <w:pPr>
        <w:spacing w:after="160"/>
      </w:pPr>
      <w:r>
        <w:rPr>
          <w:rFonts w:ascii="Arial" w:cs="Arial" w:eastAsia="Arial" w:hAnsi="Arial"/>
          <w:color w:val="1B1B1B"/>
          <w:sz w:val="22"/>
          <w:szCs w:val="22"/>
        </w:rPr>
        <w:t xml:space="preserve">Terrium is built as a coordinated system of specialized agents, not a single model call. Every domain runs the full chain below — no domain is simplified or special-cased, even where it costs speed. Quality and correctness are the priority; latency optimization is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D8A72" w:sz="4"/>
              <w:left w:val="single" w:color="1D8A72" w:sz="4"/>
              <w:bottom w:val="single" w:color="1D8A72" w:sz="4"/>
              <w:right w:val="single" w:color="1D8A72" w:sz="4"/>
            </w:tcBorders>
            <w:shd w:fill="E4F5F0" w:val="clear"/>
            <w:tcMar>
              <w:top w:type="dxa" w:w="160"/>
              <w:left w:type="dxa" w:w="200"/>
              <w:bottom w:type="dxa" w:w="160"/>
              <w:right w:type="dxa" w:w="200"/>
            </w:tcMar>
          </w:tcPr>
          <w:p>
            <w:r>
              <w:rPr>
                <w:rFonts w:ascii="Arial" w:cs="Arial" w:eastAsia="Arial" w:hAnsi="Arial"/>
                <w:b/>
                <w:bCs/>
                <w:color w:val="1B1B1B"/>
                <w:sz w:val="20"/>
                <w:szCs w:val="20"/>
              </w:rPr>
              <w:t xml:space="preserve">Standard: literature-backed, not just plausible</w:t>
            </w:r>
          </w:p>
          <w:p>
            <w:pPr>
              <w:spacing w:before="60"/>
            </w:pPr>
            <w:r>
              <w:rPr>
                <w:rFonts w:ascii="Arial" w:cs="Arial" w:eastAsia="Arial" w:hAnsi="Arial"/>
                <w:color w:val="1B1B1B"/>
                <w:sz w:val="20"/>
                <w:szCs w:val="20"/>
              </w:rPr>
              <w:t xml:space="preserve">Every constant, parameter choice, and claim the system produces must trace to a real, citable source — a published paper, an established method, a documented constant — not the model's internal "knowledge." If no literature source exists for something, the system says so explicitly rather than defaulting silently. V1 definition of "backed": a real, relevant citation exists and its abstract semantically supports the claim. Full-text verification against complete papers is a later-stage goal, not a v1 requirement.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696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Job and literature-backing standard</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Model-picker</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Identifies the domain from the question. On ambiguity, surfaces the specific domains it can find literature support for and lets the user choose, rather than guessing silently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Configuration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Proposes parameters, each traced to a cited source with a defined scope (what system, what conditions that source is valid for) — flags explicitly when a request falls outside a source's scope rather than misapplying it</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Execution</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Runs the simulation directly where possible — the default path whenever the platform can execute it end-to-end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Setup-assist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Activates only when direct execution isn't possible; prepares a complete, literature-backed configuration for the user to run on their own compute</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Hallucination-check</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Verifies every constant and claim against real literature via API — runs on a different underlying model than the one that generated the content, so the same blind spot can't affect both the generation and the check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Correctness-verification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Confirms execution against literature-established sanity ranges for that method (e.g. energy conservation bounds, expected convergence behavior) — not just "did it run without an error"</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Critique</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Checks the configuration against what the cited sources actually recommend and flags real deviations — anchored to the literature, not generic hedging on every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Polish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Formatting and clarity only — explicitly forbidden from removing citations or hedge language attached by earlier agents</w:t>
            </w:r>
          </w:p>
        </w:tc>
      </w:tr>
      <w:tr>
        <w:tc>
          <w:tcPr>
            <w:tcW w:type="dxa" w:w="24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Deep-research</w:t>
            </w:r>
          </w:p>
        </w:tc>
        <w:tc>
          <w:tcPr>
            <w:tcW w:type="dxa" w:w="69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Parallel capability for literature-synthesis questions, sharing the same citation-verification standard and hallucination-check/critique agents as the simulation pipeline</w:t>
            </w:r>
          </w:p>
        </w:tc>
      </w:tr>
    </w:tbl>
    <w:p>
      <w:pPr>
        <w:spacing w:after="200"/>
      </w:pPr>
    </w:p>
    <w:p>
      <w:pPr>
        <w:spacing w:after="160"/>
      </w:pPr>
      <w:r>
        <w:rPr>
          <w:rFonts w:ascii="Arial" w:cs="Arial" w:eastAsia="Arial" w:hAnsi="Arial"/>
          <w:color w:val="1B1B1B"/>
          <w:sz w:val="22"/>
          <w:szCs w:val="22"/>
        </w:rPr>
        <w:t xml:space="preserve">Hallucination-checking, correctness-verification, critique, and polish stay four separate agents rather than one combined step, because each catches a genuinely different failure mode: an invented or misapplied constant, code that runs but produces meaningless output, a subtly wrong assumption that technically executes, and unclear writing. Folding these into a single pass means whichever failure mode is checked last gets checked worst.</w:t>
      </w:r>
    </w:p>
    <w:p>
      <w:pPr>
        <w:pStyle w:val="Heading2"/>
      </w:pPr>
      <w:r>
        <w:rPr>
          <w:rFonts w:ascii="Arial" w:cs="Arial" w:eastAsia="Arial" w:hAnsi="Arial"/>
        </w:rPr>
        <w:t xml:space="preserve">2.4 Technical stack, researched and verified</w:t>
      </w:r>
    </w:p>
    <w:p>
      <w:pPr>
        <w:pStyle w:val="ListParagraph"/>
        <w:numPr>
          <w:ilvl w:val="0"/>
          <w:numId w:val="2"/>
        </w:numPr>
        <w:spacing w:after="80"/>
      </w:pPr>
      <w:r>
        <w:rPr>
          <w:rFonts w:ascii="Arial" w:cs="Arial" w:eastAsia="Arial" w:hAnsi="Arial"/>
          <w:b/>
          <w:bCs/>
          <w:color w:val="1B1B1B"/>
          <w:sz w:val="22"/>
          <w:szCs w:val="22"/>
        </w:rPr>
        <w:t xml:space="preserve">Model routing — LiteLLM: </w:t>
      </w:r>
      <w:r>
        <w:rPr>
          <w:rFonts w:ascii="Arial" w:cs="Arial" w:eastAsia="Arial" w:hAnsi="Arial"/>
          <w:color w:val="1B1B1B"/>
          <w:sz w:val="22"/>
          <w:szCs w:val="22"/>
        </w:rPr>
        <w:t xml:space="preserve">unified interface across model providers with built-in fallback and retry. Used deliberately to route generation and verification to different underlying models.</w:t>
      </w:r>
    </w:p>
    <w:p>
      <w:pPr>
        <w:pStyle w:val="ListParagraph"/>
        <w:numPr>
          <w:ilvl w:val="0"/>
          <w:numId w:val="2"/>
        </w:numPr>
        <w:spacing w:after="80"/>
      </w:pPr>
      <w:r>
        <w:rPr>
          <w:rFonts w:ascii="Arial" w:cs="Arial" w:eastAsia="Arial" w:hAnsi="Arial"/>
          <w:b/>
          <w:bCs/>
          <w:color w:val="1B1B1B"/>
          <w:sz w:val="22"/>
          <w:szCs w:val="22"/>
        </w:rPr>
        <w:t xml:space="preserve">Local models — Ollama: </w:t>
      </w:r>
      <w:r>
        <w:rPr>
          <w:rFonts w:ascii="Arial" w:cs="Arial" w:eastAsia="Arial" w:hAnsi="Arial"/>
          <w:color w:val="1B1B1B"/>
          <w:sz w:val="22"/>
          <w:szCs w:val="22"/>
        </w:rPr>
        <w:t xml:space="preserve">runs the lower-stakes agents (model-picker, configuration drafting, polish) locally at zero cost.</w:t>
      </w:r>
    </w:p>
    <w:p>
      <w:pPr>
        <w:pStyle w:val="ListParagraph"/>
        <w:numPr>
          <w:ilvl w:val="0"/>
          <w:numId w:val="2"/>
        </w:numPr>
        <w:spacing w:after="80"/>
      </w:pPr>
      <w:r>
        <w:rPr>
          <w:rFonts w:ascii="Arial" w:cs="Arial" w:eastAsia="Arial" w:hAnsi="Arial"/>
          <w:b/>
          <w:bCs/>
          <w:color w:val="1B1B1B"/>
          <w:sz w:val="22"/>
          <w:szCs w:val="22"/>
        </w:rPr>
        <w:t xml:space="preserve">Quality tier — user-supplied API key (Claude/GPT-class model): </w:t>
      </w:r>
      <w:r>
        <w:rPr>
          <w:rFonts w:ascii="Arial" w:cs="Arial" w:eastAsia="Arial" w:hAnsi="Arial"/>
          <w:color w:val="1B1B1B"/>
          <w:sz w:val="22"/>
          <w:szCs w:val="22"/>
        </w:rPr>
        <w:t xml:space="preserve">specifically for hallucination-check and critique, where reasoning quality is the core product. This matches the pattern the industry calls "LLM-as-judge with independent verification" — using a separate, often stronger model to check another model's output, specifically to avoid shared blind spots between generator and checker.</w:t>
      </w:r>
    </w:p>
    <w:p>
      <w:pPr>
        <w:pStyle w:val="ListParagraph"/>
        <w:numPr>
          <w:ilvl w:val="0"/>
          <w:numId w:val="2"/>
        </w:numPr>
        <w:spacing w:after="80"/>
      </w:pPr>
      <w:r>
        <w:rPr>
          <w:rFonts w:ascii="Arial" w:cs="Arial" w:eastAsia="Arial" w:hAnsi="Arial"/>
          <w:b/>
          <w:bCs/>
          <w:color w:val="1B1B1B"/>
          <w:sz w:val="22"/>
          <w:szCs w:val="22"/>
        </w:rPr>
        <w:t xml:space="preserve">Literature source — PubMed / NCBI E-utilities: </w:t>
      </w:r>
      <w:r>
        <w:rPr>
          <w:rFonts w:ascii="Arial" w:cs="Arial" w:eastAsia="Arial" w:hAnsi="Arial"/>
          <w:color w:val="1B1B1B"/>
          <w:sz w:val="22"/>
          <w:szCs w:val="22"/>
        </w:rPr>
        <w:t xml:space="preserve">biomedical/life-science gold standard, 40M+ citations, MeSH controlled vocabulary. Free; verified rate limits: 3 req/sec without a key, 10/sec with one. Reviewer guidelines for PRISMA-style biomedical reviews often require it directly.</w:t>
      </w:r>
    </w:p>
    <w:p>
      <w:pPr>
        <w:pStyle w:val="ListParagraph"/>
        <w:numPr>
          <w:ilvl w:val="0"/>
          <w:numId w:val="2"/>
        </w:numPr>
        <w:spacing w:after="80"/>
      </w:pPr>
      <w:r>
        <w:rPr>
          <w:rFonts w:ascii="Arial" w:cs="Arial" w:eastAsia="Arial" w:hAnsi="Arial"/>
          <w:b/>
          <w:bCs/>
          <w:color w:val="1B1B1B"/>
          <w:sz w:val="22"/>
          <w:szCs w:val="22"/>
        </w:rPr>
        <w:t xml:space="preserve">Literature source — Semantic Scholar API: </w:t>
      </w:r>
      <w:r>
        <w:rPr>
          <w:rFonts w:ascii="Arial" w:cs="Arial" w:eastAsia="Arial" w:hAnsi="Arial"/>
          <w:color w:val="1B1B1B"/>
          <w:sz w:val="22"/>
          <w:szCs w:val="22"/>
        </w:rPr>
        <w:t xml:space="preserve">200M+ papers, strong citation-graph and "highly influential citation" signals, free with generous rate limits.</w:t>
      </w:r>
    </w:p>
    <w:p>
      <w:pPr>
        <w:pStyle w:val="ListParagraph"/>
        <w:numPr>
          <w:ilvl w:val="0"/>
          <w:numId w:val="2"/>
        </w:numPr>
        <w:spacing w:after="80"/>
      </w:pPr>
      <w:r>
        <w:rPr>
          <w:rFonts w:ascii="Arial" w:cs="Arial" w:eastAsia="Arial" w:hAnsi="Arial"/>
          <w:b/>
          <w:bCs/>
          <w:color w:val="1B1B1B"/>
          <w:sz w:val="22"/>
          <w:szCs w:val="22"/>
        </w:rPr>
        <w:t xml:space="preserve">Literature source — OpenAlex API: </w:t>
      </w:r>
      <w:r>
        <w:rPr>
          <w:rFonts w:ascii="Arial" w:cs="Arial" w:eastAsia="Arial" w:hAnsi="Arial"/>
          <w:color w:val="1B1B1B"/>
          <w:sz w:val="22"/>
          <w:szCs w:val="22"/>
        </w:rPr>
        <w:t xml:space="preserve">250M+ works, fully open, CC0-licensed, no authentication required, effectively unlimited rate — the most open of the four sources and a strong backbone for coverage beyond biomedicine. Added after research confirmed it as a genuinely strong, underused option.</w:t>
      </w:r>
    </w:p>
    <w:p>
      <w:pPr>
        <w:pStyle w:val="ListParagraph"/>
        <w:numPr>
          <w:ilvl w:val="0"/>
          <w:numId w:val="2"/>
        </w:numPr>
        <w:spacing w:after="80"/>
      </w:pPr>
      <w:r>
        <w:rPr>
          <w:rFonts w:ascii="Arial" w:cs="Arial" w:eastAsia="Arial" w:hAnsi="Arial"/>
          <w:b/>
          <w:bCs/>
          <w:color w:val="1B1B1B"/>
          <w:sz w:val="22"/>
          <w:szCs w:val="22"/>
        </w:rPr>
        <w:t xml:space="preserve">Literature source — arXiv API: </w:t>
      </w:r>
      <w:r>
        <w:rPr>
          <w:rFonts w:ascii="Arial" w:cs="Arial" w:eastAsia="Arial" w:hAnsi="Arial"/>
          <w:color w:val="1B1B1B"/>
          <w:sz w:val="22"/>
          <w:szCs w:val="22"/>
        </w:rPr>
        <w:t xml:space="preserve">covers statistical and methodological literature (relevant to Monte Carlo simulation) the other sources cover less completely.</w:t>
      </w:r>
    </w:p>
    <w:p>
      <w:pPr>
        <w:pStyle w:val="ListParagraph"/>
        <w:numPr>
          <w:ilvl w:val="0"/>
          <w:numId w:val="2"/>
        </w:numPr>
        <w:spacing w:after="80"/>
      </w:pPr>
      <w:r>
        <w:rPr>
          <w:rFonts w:ascii="Arial" w:cs="Arial" w:eastAsia="Arial" w:hAnsi="Arial"/>
          <w:b/>
          <w:bCs/>
          <w:color w:val="1B1B1B"/>
          <w:sz w:val="22"/>
          <w:szCs w:val="22"/>
        </w:rPr>
        <w:t xml:space="preserve">Literature source — CrossRef: </w:t>
      </w:r>
      <w:r>
        <w:rPr>
          <w:rFonts w:ascii="Arial" w:cs="Arial" w:eastAsia="Arial" w:hAnsi="Arial"/>
          <w:color w:val="1B1B1B"/>
          <w:sz w:val="22"/>
          <w:szCs w:val="22"/>
        </w:rPr>
        <w:t xml:space="preserve">fast, cheap backstop confirming a DOI or citation exists and matches what's claimed, before more expensive semantic verification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A441" w:sz="4"/>
              <w:left w:val="single" w:color="D9A441" w:sz="4"/>
              <w:bottom w:val="single" w:color="D9A441" w:sz="4"/>
              <w:right w:val="single" w:color="D9A441" w:sz="4"/>
            </w:tcBorders>
            <w:shd w:fill="FFF3E0" w:val="clear"/>
            <w:tcMar>
              <w:top w:type="dxa" w:w="160"/>
              <w:left w:type="dxa" w:w="200"/>
              <w:bottom w:type="dxa" w:w="160"/>
              <w:right w:type="dxa" w:w="200"/>
            </w:tcMar>
          </w:tcPr>
          <w:p>
            <w:r>
              <w:rPr>
                <w:rFonts w:ascii="Arial" w:cs="Arial" w:eastAsia="Arial" w:hAnsi="Arial"/>
                <w:b/>
                <w:bCs/>
                <w:color w:val="1B1B1B"/>
                <w:sz w:val="20"/>
                <w:szCs w:val="20"/>
              </w:rPr>
              <w:t xml:space="preserve">Open engineering question</w:t>
            </w:r>
          </w:p>
          <w:p>
            <w:pPr>
              <w:spacing w:before="60"/>
            </w:pPr>
            <w:r>
              <w:rPr>
                <w:rFonts w:ascii="Arial" w:cs="Arial" w:eastAsia="Arial" w:hAnsi="Arial"/>
                <w:color w:val="1B1B1B"/>
                <w:sz w:val="20"/>
                <w:szCs w:val="20"/>
              </w:rPr>
              <w:t xml:space="preserve">"Literature-backed" at v1 means a real, relevant citation exists and its abstract semantically supports the claim — not full-text verification against complete papers, which is a substantially harder, later-stage problem. This distinction should be stated explicitly anywhere this architecture is described, including to SH1P mentors and investors, so the claim being made is accurate.</w:t>
            </w:r>
          </w:p>
        </w:tc>
      </w:tr>
    </w:tbl>
    <w:p>
      <w:pPr>
        <w:spacing w:after="200"/>
      </w:pPr>
    </w:p>
    <w:p>
      <w:pPr>
        <w:pStyle w:val="Heading2"/>
      </w:pPr>
      <w:r>
        <w:rPr>
          <w:rFonts w:ascii="Arial" w:cs="Arial" w:eastAsia="Arial" w:hAnsi="Arial"/>
        </w:rPr>
        <w:t xml:space="preserve">2.5 Domains at launch</w:t>
      </w:r>
    </w:p>
    <w:p>
      <w:pPr>
        <w:spacing w:after="160"/>
      </w:pPr>
      <w:r>
        <w:rPr>
          <w:rFonts w:ascii="Arial" w:cs="Arial" w:eastAsia="Arial" w:hAnsi="Arial"/>
          <w:color w:val="1B1B1B"/>
          <w:sz w:val="22"/>
          <w:szCs w:val="22"/>
        </w:rPr>
        <w:t xml:space="preserve">Six simulation domains are live simultaneously at launch, and every one runs through the identical agent pipeline described above — no domain is a special case at the architecture level:</w:t>
      </w:r>
    </w:p>
    <w:p>
      <w:pPr>
        <w:pStyle w:val="ListParagraph"/>
        <w:numPr>
          <w:ilvl w:val="0"/>
          <w:numId w:val="2"/>
        </w:numPr>
        <w:spacing w:after="80"/>
      </w:pPr>
      <w:r>
        <w:rPr>
          <w:rFonts w:ascii="Arial" w:cs="Arial" w:eastAsia="Arial" w:hAnsi="Arial"/>
          <w:color w:val="1B1B1B"/>
          <w:sz w:val="22"/>
          <w:szCs w:val="22"/>
        </w:rPr>
        <w:t xml:space="preserve">PCR amplification — exponential DNA copy modeling across thermocycler cycles</w:t>
      </w:r>
    </w:p>
    <w:p>
      <w:pPr>
        <w:pStyle w:val="ListParagraph"/>
        <w:numPr>
          <w:ilvl w:val="0"/>
          <w:numId w:val="2"/>
        </w:numPr>
        <w:spacing w:after="80"/>
      </w:pPr>
      <w:r>
        <w:rPr>
          <w:rFonts w:ascii="Arial" w:cs="Arial" w:eastAsia="Arial" w:hAnsi="Arial"/>
          <w:color w:val="1B1B1B"/>
          <w:sz w:val="22"/>
          <w:szCs w:val="22"/>
        </w:rPr>
        <w:t xml:space="preserve">Michaelis-Menten enzyme kinetics — reaction velocity as a function of substrate concentration</w:t>
      </w:r>
    </w:p>
    <w:p>
      <w:pPr>
        <w:pStyle w:val="ListParagraph"/>
        <w:numPr>
          <w:ilvl w:val="0"/>
          <w:numId w:val="2"/>
        </w:numPr>
        <w:spacing w:after="80"/>
      </w:pPr>
      <w:r>
        <w:rPr>
          <w:rFonts w:ascii="Arial" w:cs="Arial" w:eastAsia="Arial" w:hAnsi="Arial"/>
          <w:color w:val="1B1B1B"/>
          <w:sz w:val="22"/>
          <w:szCs w:val="22"/>
        </w:rPr>
        <w:t xml:space="preserve">SIR / SEIR epidemiological modelling — disease spread through a population via differential equations</w:t>
      </w:r>
    </w:p>
    <w:p>
      <w:pPr>
        <w:pStyle w:val="ListParagraph"/>
        <w:numPr>
          <w:ilvl w:val="0"/>
          <w:numId w:val="2"/>
        </w:numPr>
        <w:spacing w:after="80"/>
      </w:pPr>
      <w:r>
        <w:rPr>
          <w:rFonts w:ascii="Arial" w:cs="Arial" w:eastAsia="Arial" w:hAnsi="Arial"/>
          <w:color w:val="1B1B1B"/>
          <w:sz w:val="22"/>
          <w:szCs w:val="22"/>
        </w:rPr>
        <w:t xml:space="preserve">Monte Carlo statistical simulation — repeated random sampling for power, confidence intervals, probability distributions</w:t>
      </w:r>
    </w:p>
    <w:p>
      <w:pPr>
        <w:pStyle w:val="ListParagraph"/>
        <w:numPr>
          <w:ilvl w:val="0"/>
          <w:numId w:val="2"/>
        </w:numPr>
        <w:spacing w:after="80"/>
      </w:pPr>
      <w:r>
        <w:rPr>
          <w:rFonts w:ascii="Arial" w:cs="Arial" w:eastAsia="Arial" w:hAnsi="Arial"/>
          <w:color w:val="1B1B1B"/>
          <w:sz w:val="22"/>
          <w:szCs w:val="22"/>
        </w:rPr>
        <w:t xml:space="preserve">Population genetics — allele frequency change under drift and Hardy-Weinberg assumptions</w:t>
      </w:r>
    </w:p>
    <w:p>
      <w:pPr>
        <w:pStyle w:val="ListParagraph"/>
        <w:numPr>
          <w:ilvl w:val="0"/>
          <w:numId w:val="2"/>
        </w:numPr>
        <w:spacing w:after="80"/>
      </w:pPr>
      <w:r>
        <w:rPr>
          <w:rFonts w:ascii="Arial" w:cs="Arial" w:eastAsia="Arial" w:hAnsi="Arial"/>
          <w:color w:val="1B1B1B"/>
          <w:sz w:val="22"/>
          <w:szCs w:val="22"/>
        </w:rPr>
        <w:t xml:space="preserve">Molecular dynamics — protein/ligand simulation setup, execution where feasible, and configuration correctness checking</w:t>
      </w:r>
    </w:p>
    <w:p>
      <w:pPr>
        <w:spacing w:after="160"/>
      </w:pPr>
      <w:r>
        <w:rPr>
          <w:rFonts w:ascii="Arial" w:cs="Arial" w:eastAsia="Arial" w:hAnsi="Arial"/>
          <w:color w:val="1B1B1B"/>
          <w:sz w:val="22"/>
          <w:szCs w:val="22"/>
        </w:rPr>
        <w:t xml:space="preserve">No domain is designated a flagship in advance. Which domain receives deeper investment is a decision made later, from real usage data once users are on the platform, not decided from the founding team's personal background alone. A domain is added beyond these six only once equation-pinning and known-good reference data can be defined for it — that constraint, not a fixed number, is what keeps the domain list honest rather than a claim of "everything."</w:t>
      </w:r>
    </w:p>
    <w:p>
      <w:r>
        <w:br w:type="page"/>
      </w:r>
    </w:p>
    <w:p>
      <w:pPr>
        <w:pStyle w:val="Heading1"/>
      </w:pPr>
      <w:r>
        <w:rPr>
          <w:rFonts w:ascii="Arial" w:cs="Arial" w:eastAsia="Arial" w:hAnsi="Arial"/>
        </w:rPr>
        <w:t xml:space="preserve">3. Brand</w:t>
      </w:r>
    </w:p>
    <w:p>
      <w:pPr>
        <w:spacing w:after="160"/>
      </w:pPr>
      <w:r>
        <w:rPr>
          <w:rFonts w:ascii="Arial" w:cs="Arial" w:eastAsia="Arial" w:hAnsi="Arial"/>
          <w:color w:val="1B1B1B"/>
          <w:sz w:val="22"/>
          <w:szCs w:val="22"/>
        </w:rPr>
        <w:t xml:space="preserve">Name: Terrium. Coined in the register of real element names (Terbium, Tritium, Yttrium) so it sounds native to a periodic table without literally being one — signals hard science credibility without being a generic word.</w:t>
      </w:r>
    </w:p>
    <w:p>
      <w:pPr>
        <w:pStyle w:val="ListParagraph"/>
        <w:numPr>
          <w:ilvl w:val="0"/>
          <w:numId w:val="2"/>
        </w:numPr>
        <w:spacing w:after="80"/>
      </w:pPr>
      <w:r>
        <w:rPr>
          <w:rFonts w:ascii="Arial" w:cs="Arial" w:eastAsia="Arial" w:hAnsi="Arial"/>
          <w:b/>
          <w:bCs/>
          <w:color w:val="1B1B1B"/>
          <w:sz w:val="22"/>
          <w:szCs w:val="22"/>
        </w:rPr>
        <w:t xml:space="preserve">Mark: </w:t>
      </w:r>
      <w:r>
        <w:rPr>
          <w:rFonts w:ascii="Arial" w:cs="Arial" w:eastAsia="Arial" w:hAnsi="Arial"/>
          <w:color w:val="1B1B1B"/>
          <w:sz w:val="22"/>
          <w:szCs w:val="22"/>
        </w:rPr>
        <w:t xml:space="preserve">a faceted, crystalline hexagonal form, precise and geometric, in a teal-to-slate gradient. Reads as a mineral or gemstone under structured light — controlled, analytical, not organic or playful.</w:t>
      </w:r>
    </w:p>
    <w:p>
      <w:pPr>
        <w:pStyle w:val="ListParagraph"/>
        <w:numPr>
          <w:ilvl w:val="0"/>
          <w:numId w:val="2"/>
        </w:numPr>
        <w:spacing w:after="80"/>
      </w:pPr>
      <w:r>
        <w:rPr>
          <w:rFonts w:ascii="Arial" w:cs="Arial" w:eastAsia="Arial" w:hAnsi="Arial"/>
          <w:b/>
          <w:bCs/>
          <w:color w:val="1B1B1B"/>
          <w:sz w:val="22"/>
          <w:szCs w:val="22"/>
        </w:rPr>
        <w:t xml:space="preserve">Wordmark: </w:t>
      </w:r>
      <w:r>
        <w:rPr>
          <w:rFonts w:ascii="Arial" w:cs="Arial" w:eastAsia="Arial" w:hAnsi="Arial"/>
          <w:color w:val="1B1B1B"/>
          <w:sz w:val="22"/>
          <w:szCs w:val="22"/>
        </w:rPr>
        <w:t xml:space="preserve">lowercase, geometric sans, dark teal, set directly beneath the mark.</w:t>
      </w:r>
    </w:p>
    <w:p>
      <w:pPr>
        <w:pStyle w:val="ListParagraph"/>
        <w:numPr>
          <w:ilvl w:val="0"/>
          <w:numId w:val="2"/>
        </w:numPr>
        <w:spacing w:after="80"/>
      </w:pPr>
      <w:r>
        <w:rPr>
          <w:rFonts w:ascii="Arial" w:cs="Arial" w:eastAsia="Arial" w:hAnsi="Arial"/>
          <w:b/>
          <w:bCs/>
          <w:color w:val="1B1B1B"/>
          <w:sz w:val="22"/>
          <w:szCs w:val="22"/>
        </w:rPr>
        <w:t xml:space="preserve">Primary color: </w:t>
      </w:r>
      <w:r>
        <w:rPr>
          <w:rFonts w:ascii="Arial" w:cs="Arial" w:eastAsia="Arial" w:hAnsi="Arial"/>
          <w:color w:val="1B1B1B"/>
          <w:sz w:val="22"/>
          <w:szCs w:val="22"/>
        </w:rPr>
        <w:t xml:space="preserve">deep teal (#1D8A72), paired with slate grays from the logo's faceted shading — deliberately avoids the blue that saturates "AI research tool" branding.</w:t>
      </w:r>
    </w:p>
    <w:p>
      <w:pPr>
        <w:pStyle w:val="ListParagraph"/>
        <w:numPr>
          <w:ilvl w:val="0"/>
          <w:numId w:val="2"/>
        </w:numPr>
        <w:spacing w:after="80"/>
      </w:pPr>
      <w:r>
        <w:rPr>
          <w:rFonts w:ascii="Arial" w:cs="Arial" w:eastAsia="Arial" w:hAnsi="Arial"/>
          <w:b/>
          <w:bCs/>
          <w:color w:val="1B1B1B"/>
          <w:sz w:val="22"/>
          <w:szCs w:val="22"/>
        </w:rPr>
        <w:t xml:space="preserve">Tagline: </w:t>
      </w:r>
      <w:r>
        <w:rPr>
          <w:rFonts w:ascii="Arial" w:cs="Arial" w:eastAsia="Arial" w:hAnsi="Arial"/>
          <w:color w:val="1B1B1B"/>
          <w:sz w:val="22"/>
          <w:szCs w:val="22"/>
        </w:rPr>
        <w:t xml:space="preserve">"Terrium runs the science." — direct, execution-first, matches what the product actually does.</w:t>
      </w:r>
    </w:p>
    <w:p>
      <w:pPr>
        <w:pStyle w:val="ListParagraph"/>
        <w:numPr>
          <w:ilvl w:val="0"/>
          <w:numId w:val="2"/>
        </w:numPr>
        <w:spacing w:after="80"/>
      </w:pPr>
      <w:r>
        <w:rPr>
          <w:rFonts w:ascii="Arial" w:cs="Arial" w:eastAsia="Arial" w:hAnsi="Arial"/>
          <w:b/>
          <w:bCs/>
          <w:color w:val="1B1B1B"/>
          <w:sz w:val="22"/>
          <w:szCs w:val="22"/>
        </w:rPr>
        <w:t xml:space="preserve">Tone: </w:t>
      </w:r>
      <w:r>
        <w:rPr>
          <w:rFonts w:ascii="Arial" w:cs="Arial" w:eastAsia="Arial" w:hAnsi="Arial"/>
          <w:color w:val="1B1B1B"/>
          <w:sz w:val="22"/>
          <w:szCs w:val="22"/>
        </w:rPr>
        <w:t xml:space="preserve">precise and unshowy. Credible to a working scientist reading it cold. No "revolutionary" or "game-changing" language — the product claims are specific enough to not need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A441" w:sz="4"/>
              <w:left w:val="single" w:color="D9A441" w:sz="4"/>
              <w:bottom w:val="single" w:color="D9A441" w:sz="4"/>
              <w:right w:val="single" w:color="D9A441" w:sz="4"/>
            </w:tcBorders>
            <w:shd w:fill="FFF3E0" w:val="clear"/>
            <w:tcMar>
              <w:top w:type="dxa" w:w="160"/>
              <w:left w:type="dxa" w:w="200"/>
              <w:bottom w:type="dxa" w:w="160"/>
              <w:right w:type="dxa" w:w="200"/>
            </w:tcMar>
          </w:tcPr>
          <w:p>
            <w:r>
              <w:rPr>
                <w:rFonts w:ascii="Arial" w:cs="Arial" w:eastAsia="Arial" w:hAnsi="Arial"/>
                <w:b/>
                <w:bCs/>
                <w:color w:val="1B1B1B"/>
                <w:sz w:val="20"/>
                <w:szCs w:val="20"/>
              </w:rPr>
              <w:t xml:space="preserve">Action needed</w:t>
            </w:r>
          </w:p>
          <w:p>
            <w:pPr>
              <w:spacing w:before="60"/>
            </w:pPr>
            <w:r>
              <w:rPr>
                <w:rFonts w:ascii="Arial" w:cs="Arial" w:eastAsia="Arial" w:hAnsi="Arial"/>
                <w:color w:val="1B1B1B"/>
                <w:sz w:val="20"/>
                <w:szCs w:val="20"/>
              </w:rPr>
              <w:t xml:space="preserve">Confirm terrium.ai / .dev / .io domain availability and run a USPTO TESS trademark search before any public use of the name.</w:t>
            </w:r>
          </w:p>
        </w:tc>
      </w:tr>
    </w:tbl>
    <w:p>
      <w:pPr>
        <w:spacing w:after="200"/>
      </w:pPr>
    </w:p>
    <w:p>
      <w:pPr>
        <w:pBdr>
          <w:bottom w:val="single" w:color="1D8A72" w:sz="4" w:space="8"/>
        </w:pBdr>
        <w:spacing w:after="200" w:before="200"/>
      </w:pPr>
    </w:p>
    <w:p>
      <w:pPr>
        <w:pStyle w:val="Heading1"/>
      </w:pPr>
      <w:r>
        <w:rPr>
          <w:rFonts w:ascii="Arial" w:cs="Arial" w:eastAsia="Arial" w:hAnsi="Arial"/>
        </w:rPr>
        <w:t xml:space="preserve">4. Audience</w:t>
      </w:r>
    </w:p>
    <w:p>
      <w:pPr>
        <w:pStyle w:val="ListParagraph"/>
        <w:numPr>
          <w:ilvl w:val="0"/>
          <w:numId w:val="2"/>
        </w:numPr>
        <w:spacing w:after="80"/>
      </w:pPr>
      <w:r>
        <w:rPr>
          <w:rFonts w:ascii="Arial" w:cs="Arial" w:eastAsia="Arial" w:hAnsi="Arial"/>
          <w:b/>
          <w:bCs/>
          <w:color w:val="1B1B1B"/>
          <w:sz w:val="22"/>
          <w:szCs w:val="22"/>
        </w:rPr>
        <w:t xml:space="preserve">Primary: </w:t>
      </w:r>
      <w:r>
        <w:rPr>
          <w:rFonts w:ascii="Arial" w:cs="Arial" w:eastAsia="Arial" w:hAnsi="Arial"/>
          <w:color w:val="1B1B1B"/>
          <w:sz w:val="22"/>
          <w:szCs w:val="22"/>
        </w:rPr>
        <w:t xml:space="preserve">university course instructors and small teaching labs running computational coursework across any of the six domains. They control a budget line, and currently lose real instructor and TA time, plus shared compute allocation, to student setup errors.</w:t>
      </w:r>
    </w:p>
    <w:p>
      <w:pPr>
        <w:pStyle w:val="ListParagraph"/>
        <w:numPr>
          <w:ilvl w:val="0"/>
          <w:numId w:val="2"/>
        </w:numPr>
        <w:spacing w:after="80"/>
      </w:pPr>
      <w:r>
        <w:rPr>
          <w:rFonts w:ascii="Arial" w:cs="Arial" w:eastAsia="Arial" w:hAnsi="Arial"/>
          <w:b/>
          <w:bCs/>
          <w:color w:val="1B1B1B"/>
          <w:sz w:val="22"/>
          <w:szCs w:val="22"/>
        </w:rPr>
        <w:t xml:space="preserve">Secondary: </w:t>
      </w:r>
      <w:r>
        <w:rPr>
          <w:rFonts w:ascii="Arial" w:cs="Arial" w:eastAsia="Arial" w:hAnsi="Arial"/>
          <w:color w:val="1B1B1B"/>
          <w:sz w:val="22"/>
          <w:szCs w:val="22"/>
        </w:rPr>
        <w:t xml:space="preserve">individual graduate students and early-career researchers who need to run a simulation correctly without deep prior expertise in that specific method.</w:t>
      </w:r>
    </w:p>
    <w:p>
      <w:pPr>
        <w:pStyle w:val="ListParagraph"/>
        <w:numPr>
          <w:ilvl w:val="0"/>
          <w:numId w:val="2"/>
        </w:numPr>
        <w:spacing w:after="80"/>
      </w:pPr>
      <w:r>
        <w:rPr>
          <w:rFonts w:ascii="Arial" w:cs="Arial" w:eastAsia="Arial" w:hAnsi="Arial"/>
          <w:b/>
          <w:bCs/>
          <w:color w:val="1B1B1B"/>
          <w:sz w:val="22"/>
          <w:szCs w:val="22"/>
        </w:rPr>
        <w:t xml:space="preserve">Validation contacts already in the founder's network: </w:t>
      </w:r>
      <w:r>
        <w:rPr>
          <w:rFonts w:ascii="Arial" w:cs="Arial" w:eastAsia="Arial" w:hAnsi="Arial"/>
          <w:color w:val="1B1B1B"/>
          <w:sz w:val="22"/>
          <w:szCs w:val="22"/>
        </w:rPr>
        <w:t xml:space="preserve">Prof. Özlem Tastan Bishop (Director, Research Unit in Bioinformatics, Rhodes University), Dr. Paul Nayim, Dr. Emiliano Ippoliti — direct outreach sent, replies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9A441" w:sz="4"/>
              <w:left w:val="single" w:color="D9A441" w:sz="4"/>
              <w:bottom w:val="single" w:color="D9A441" w:sz="4"/>
              <w:right w:val="single" w:color="D9A441" w:sz="4"/>
            </w:tcBorders>
            <w:shd w:fill="FFF3E0" w:val="clear"/>
            <w:tcMar>
              <w:top w:type="dxa" w:w="160"/>
              <w:left w:type="dxa" w:w="200"/>
              <w:bottom w:type="dxa" w:w="160"/>
              <w:right w:type="dxa" w:w="200"/>
            </w:tcMar>
          </w:tcPr>
          <w:p>
            <w:r>
              <w:rPr>
                <w:rFonts w:ascii="Arial" w:cs="Arial" w:eastAsia="Arial" w:hAnsi="Arial"/>
                <w:b/>
                <w:bCs/>
                <w:color w:val="1B1B1B"/>
                <w:sz w:val="20"/>
                <w:szCs w:val="20"/>
              </w:rPr>
              <w:t xml:space="preserve">Honesty check, carried forward</w:t>
            </w:r>
          </w:p>
          <w:p>
            <w:pPr>
              <w:spacing w:before="60"/>
            </w:pPr>
            <w:r>
              <w:rPr>
                <w:rFonts w:ascii="Arial" w:cs="Arial" w:eastAsia="Arial" w:hAnsi="Arial"/>
                <w:color w:val="1B1B1B"/>
                <w:sz w:val="20"/>
                <w:szCs w:val="20"/>
              </w:rPr>
              <w:t xml:space="preserve">Demand for this direction is not yet independently validated by users. It was chosen because it matches the founding team's real technical strengths and has a nameable path to a paying buyer, not because users asked for it first. Closing the outstanding validation email loops and confirming one real, named paying pilot remain open items before further build investment.</w:t>
            </w:r>
          </w:p>
        </w:tc>
      </w:tr>
    </w:tbl>
    <w:p>
      <w:pPr>
        <w:spacing w:after="200"/>
      </w:pPr>
    </w:p>
    <w:p>
      <w:pPr>
        <w:pBdr>
          <w:bottom w:val="single" w:color="1D8A72" w:sz="4" w:space="8"/>
        </w:pBdr>
        <w:spacing w:after="200" w:before="200"/>
      </w:pPr>
    </w:p>
    <w:p>
      <w:pPr>
        <w:pStyle w:val="Heading1"/>
      </w:pPr>
      <w:r>
        <w:rPr>
          <w:rFonts w:ascii="Arial" w:cs="Arial" w:eastAsia="Arial" w:hAnsi="Arial"/>
        </w:rPr>
        <w:t xml:space="preserve">5. Roadmap</w:t>
      </w:r>
    </w:p>
    <w:p>
      <w:pPr>
        <w:spacing w:after="160"/>
      </w:pPr>
      <w:r>
        <w:rPr>
          <w:rFonts w:ascii="Arial" w:cs="Arial" w:eastAsia="Arial" w:hAnsi="Arial"/>
          <w:color w:val="1B1B1B"/>
          <w:sz w:val="22"/>
          <w:szCs w:val="22"/>
        </w:rPr>
        <w:t xml:space="preserve">Phased, not date-bound — each phase gates the next rather than running on a fixed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716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takes to move to the next phase</w:t>
            </w:r>
          </w:p>
        </w:tc>
      </w:tr>
      <w:tr>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Phase 0 — Validate</w:t>
            </w:r>
          </w:p>
        </w:tc>
        <w:tc>
          <w:tcPr>
            <w:tcW w:type="dxa" w:w="71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At least 2 of 3 outstanding validation emails answered with genuine signal; one real professor or program directly asked whether they'd pay; the compute story (user-provided vs. platform-provided) explicitly decided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Phase 1 — Prove one domain end-to-end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Full agent chain, including the trust layer, runs successfully on real (not synthetic) inputs in at least one domain, with hallucination-check and critique agents demonstrably catching at least one real or planted error</w:t>
            </w:r>
          </w:p>
        </w:tc>
      </w:tr>
      <w:tr>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Phase 2 — Expand to all six domains</w:t>
            </w:r>
          </w:p>
        </w:tc>
        <w:tc>
          <w:tcPr>
            <w:tcW w:type="dxa" w:w="71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Shared pipeline proven reusable across domains without per-domain architecture changes; browser notebook execution and Tellurium visualization working for kinetics/ODE domains specifically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Phase 3 — First paying pilot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One named instructor or teaching lab using Terrium in a real course or research setting, under a real (even if discounted) paid arrangement</w:t>
            </w:r>
          </w:p>
        </w:tc>
      </w:tr>
      <w:tr>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Phase 4 — Let usage pick the flagship</w:t>
            </w:r>
          </w:p>
        </w:tc>
        <w:tc>
          <w:tcPr>
            <w:tcW w:type="dxa" w:w="71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Real engagement data across domains determines where deeper investment goes next, rather than the founding team's prior assumption</w:t>
            </w:r>
          </w:p>
        </w:tc>
      </w:tr>
    </w:tbl>
    <w:p>
      <w:pPr>
        <w:spacing w:after="200"/>
      </w:pPr>
    </w:p>
    <w:p>
      <w:pPr>
        <w:pBdr>
          <w:bottom w:val="single" w:color="1D8A72" w:sz="4" w:space="8"/>
        </w:pBdr>
        <w:spacing w:after="200" w:before="200"/>
      </w:pPr>
    </w:p>
    <w:p>
      <w:pPr>
        <w:pStyle w:val="Heading1"/>
      </w:pPr>
      <w:r>
        <w:rPr>
          <w:rFonts w:ascii="Arial" w:cs="Arial" w:eastAsia="Arial" w:hAnsi="Arial"/>
        </w:rPr>
        <w:t xml:space="preserve">6.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w:t>
            </w:r>
          </w:p>
        </w:tc>
        <w:tc>
          <w:tcPr>
            <w:tcW w:type="dxa" w:w="220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360"/>
            <w:tcBorders>
              <w:top w:val="single" w:color="CCCCCC" w:sz="1"/>
              <w:left w:val="single" w:color="CCCCCC" w:sz="1"/>
              <w:bottom w:val="single" w:color="CCCCCC" w:sz="1"/>
              <w:right w:val="single" w:color="CCCCCC" w:sz="1"/>
            </w:tcBorders>
            <w:shd w:fill="1D8A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18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Smyan</w:t>
            </w:r>
          </w:p>
        </w:tc>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Domain expert / product / brand</w:t>
            </w:r>
          </w:p>
        </w:tc>
        <w:tc>
          <w:tcPr>
            <w:tcW w:type="dxa" w:w="53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Owns correctness knowledge across domains, closes validation loops, manages Tastan Bishop / Nayim / Ippoliti relationships, brand and pitch direction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Shanmuka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AI/ML lead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Builds the full agent chain — model-picker, configuration, execution, setup-assist, the four-agent trust layer, deep-research agents, and the orchestrator across all six domains</w:t>
            </w:r>
          </w:p>
        </w:tc>
      </w:tr>
      <w:tr>
        <w:tc>
          <w:tcPr>
            <w:tcW w:type="dxa" w:w="18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Victor</w:t>
            </w:r>
          </w:p>
        </w:tc>
        <w:tc>
          <w:tcPr>
            <w:tcW w:type="dxa" w:w="220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Backend</w:t>
            </w:r>
          </w:p>
        </w:tc>
        <w:tc>
          <w:tcPr>
            <w:tcW w:type="dxa" w:w="5360"/>
            <w:tcBorders>
              <w:top w:val="single" w:color="CCCCCC" w:sz="1"/>
              <w:left w:val="single" w:color="CCCCCC" w:sz="1"/>
              <w:bottom w:val="single" w:color="CCCCCC" w:sz="1"/>
              <w:right w:val="single" w:color="CCCCCC" w:sz="1"/>
            </w:tcBorders>
            <w:shd w:fill="E4F5F0" w:val="clear"/>
            <w:tcMar>
              <w:top w:type="dxa" w:w="80"/>
              <w:left w:type="dxa" w:w="120"/>
              <w:bottom w:type="dxa" w:w="80"/>
              <w:right w:type="dxa" w:w="120"/>
            </w:tcMar>
          </w:tcPr>
          <w:p>
            <w:r>
              <w:rPr>
                <w:rFonts w:ascii="Arial" w:cs="Arial" w:eastAsia="Arial" w:hAnsi="Arial"/>
                <w:color w:val="1B1B1B"/>
                <w:sz w:val="20"/>
                <w:szCs w:val="20"/>
              </w:rPr>
              <w:t xml:space="preserve">Browser-based notebook execution environment, Tellurium integration, file handling, backend infrastructure for the orchestrator</w:t>
            </w:r>
          </w:p>
        </w:tc>
      </w:tr>
    </w:tbl>
    <w:p>
      <w:pPr>
        <w:spacing w:after="200"/>
      </w:pPr>
    </w:p>
    <w:p>
      <w:pPr>
        <w:pBdr>
          <w:bottom w:val="single" w:color="1D8A72" w:sz="4" w:space="8"/>
        </w:pBdr>
        <w:spacing w:after="200" w:before="200"/>
      </w:pPr>
    </w:p>
    <w:p>
      <w:pPr>
        <w:pStyle w:val="Heading1"/>
      </w:pPr>
      <w:r>
        <w:rPr>
          <w:rFonts w:ascii="Arial" w:cs="Arial" w:eastAsia="Arial" w:hAnsi="Arial"/>
        </w:rPr>
        <w:t xml:space="preserve">7. Explicitly out of scope for now</w:t>
      </w:r>
    </w:p>
    <w:p>
      <w:pPr>
        <w:pStyle w:val="ListParagraph"/>
        <w:numPr>
          <w:ilvl w:val="0"/>
          <w:numId w:val="2"/>
        </w:numPr>
        <w:spacing w:after="80"/>
      </w:pPr>
      <w:r>
        <w:rPr>
          <w:rFonts w:ascii="Arial" w:cs="Arial" w:eastAsia="Arial" w:hAnsi="Arial"/>
          <w:color w:val="1B1B1B"/>
          <w:sz w:val="22"/>
          <w:szCs w:val="22"/>
        </w:rPr>
        <w:t xml:space="preserve">Data Hub / research data organization features from the earlier Quanticle direction</w:t>
      </w:r>
    </w:p>
    <w:p>
      <w:pPr>
        <w:pStyle w:val="ListParagraph"/>
        <w:numPr>
          <w:ilvl w:val="0"/>
          <w:numId w:val="2"/>
        </w:numPr>
        <w:spacing w:after="80"/>
      </w:pPr>
      <w:r>
        <w:rPr>
          <w:rFonts w:ascii="Arial" w:cs="Arial" w:eastAsia="Arial" w:hAnsi="Arial"/>
          <w:color w:val="1B1B1B"/>
          <w:sz w:val="22"/>
          <w:szCs w:val="22"/>
        </w:rPr>
        <w:t xml:space="preserve">Systematic Review Assistant and Meta-Analysis Assistant as standalone products</w:t>
      </w:r>
    </w:p>
    <w:p>
      <w:pPr>
        <w:pStyle w:val="ListParagraph"/>
        <w:numPr>
          <w:ilvl w:val="0"/>
          <w:numId w:val="2"/>
        </w:numPr>
        <w:spacing w:after="80"/>
      </w:pPr>
      <w:r>
        <w:rPr>
          <w:rFonts w:ascii="Arial" w:cs="Arial" w:eastAsia="Arial" w:hAnsi="Arial"/>
          <w:color w:val="1B1B1B"/>
          <w:sz w:val="22"/>
          <w:szCs w:val="22"/>
        </w:rPr>
        <w:t xml:space="preserve">NSRI partnership dependency — no longer a distribution assumption</w:t>
      </w:r>
    </w:p>
    <w:p>
      <w:pPr>
        <w:pStyle w:val="ListParagraph"/>
        <w:numPr>
          <w:ilvl w:val="0"/>
          <w:numId w:val="2"/>
        </w:numPr>
        <w:spacing w:after="80"/>
      </w:pPr>
      <w:r>
        <w:rPr>
          <w:rFonts w:ascii="Arial" w:cs="Arial" w:eastAsia="Arial" w:hAnsi="Arial"/>
          <w:color w:val="1B1B1B"/>
          <w:sz w:val="22"/>
          <w:szCs w:val="22"/>
        </w:rPr>
        <w:t xml:space="preserve">Providing or brokering compute for users — v1 assumes the user has their own HPC or cloud access where heavy execution is required</w:t>
      </w:r>
    </w:p>
    <w:p>
      <w:pPr>
        <w:pStyle w:val="ListParagraph"/>
        <w:numPr>
          <w:ilvl w:val="0"/>
          <w:numId w:val="2"/>
        </w:numPr>
        <w:spacing w:after="80"/>
      </w:pPr>
      <w:r>
        <w:rPr>
          <w:rFonts w:ascii="Arial" w:cs="Arial" w:eastAsia="Arial" w:hAnsi="Arial"/>
          <w:color w:val="1B1B1B"/>
          <w:sz w:val="22"/>
          <w:szCs w:val="22"/>
        </w:rPr>
        <w:t xml:space="preserve">Domains beyond the six listed, until equation-pinning and reference data exist for a new one</w:t>
      </w:r>
    </w:p>
    <w:p>
      <w:pPr>
        <w:spacing w:before="400"/>
        <w:jc w:val="center"/>
      </w:pPr>
      <w:r>
        <w:rPr>
          <w:rFonts w:ascii="Arial" w:cs="Arial" w:eastAsia="Arial" w:hAnsi="Arial"/>
          <w:b/>
          <w:bCs/>
          <w:color w:val="1D8A72"/>
          <w:sz w:val="20"/>
          <w:szCs w:val="20"/>
        </w:rPr>
        <w:t xml:space="preserve">TERRIUM</w:t>
      </w:r>
      <w:r>
        <w:rPr>
          <w:rFonts w:ascii="Arial" w:cs="Arial" w:eastAsia="Arial" w:hAnsi="Arial"/>
          <w:color w:val="666666"/>
          <w:sz w:val="20"/>
          <w:szCs w:val="20"/>
        </w:rPr>
        <w:t xml:space="preserve">  |  Terrium runs the science.</w:t>
      </w:r>
    </w:p>
    <w:p>
      <w:pPr>
        <w:jc w:val="center"/>
      </w:pPr>
      <w:r>
        <w:rPr>
          <w:rFonts w:ascii="Arial" w:cs="Arial" w:eastAsia="Arial" w:hAnsi="Arial"/>
          <w:color w:val="666666"/>
          <w:sz w:val="18"/>
          <w:szCs w:val="18"/>
        </w:rPr>
        <w:t xml:space="preserve">Confidential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8A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1B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2026-07-16T20:35:17.841Z</dcterms:created>
  <dcterms:modified xsi:type="dcterms:W3CDTF">2026-07-16T20:35:17.855Z</dcterms:modified>
</cp:coreProperties>
</file>

<file path=docProps/custom.xml><?xml version="1.0" encoding="utf-8"?>
<Properties xmlns="http://schemas.openxmlformats.org/officeDocument/2006/custom-properties" xmlns:vt="http://schemas.openxmlformats.org/officeDocument/2006/docPropsVTypes"/>
</file>