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color w:val="1D8A72"/>
          <w:sz w:val="40"/>
          <w:szCs w:val="40"/>
        </w:rPr>
        <w:t xml:space="preserve">TERRIUM</w:t>
      </w:r>
    </w:p>
    <w:p>
      <w:pPr>
        <w:spacing w:after="100"/>
      </w:pPr>
      <w:r>
        <w:rPr>
          <w:i/>
          <w:iCs/>
          <w:sz w:val="24"/>
          <w:szCs w:val="24"/>
        </w:rPr>
        <w:t xml:space="preserve">MVP Development Timeline — July 22 to December 2026</w:t>
      </w:r>
    </w:p>
    <w:p>
      <w:pPr>
        <w:pBdr>
          <w:bottom w:val="single" w:color="1D8A72" w:sz="8" w:space="4"/>
        </w:pBdr>
        <w:spacing w:after="300"/>
      </w:pPr>
      <w:r>
        <w:rPr>
          <w:color w:val="666666"/>
          <w:sz w:val="18"/>
          <w:szCs w:val="18"/>
        </w:rPr>
        <w:t xml:space="preserve">Version 1.0 | Prepared by Claude for Smyan Reddy</w:t>
      </w:r>
    </w:p>
    <w:p>
      <w:pPr>
        <w:pStyle w:val="Heading1"/>
        <w:spacing w:after="150" w:before="300"/>
      </w:pPr>
      <w:r>
        <w:rPr>
          <w:b/>
          <w:bCs/>
          <w:color w:val="1D8A72"/>
        </w:rPr>
        <w:t xml:space="preserve">Philosophy: gated, not just dated</w:t>
      </w:r>
    </w:p>
    <w:p>
      <w:pPr>
        <w:spacing w:after="160"/>
      </w:pPr>
      <w:r>
        <w:t xml:space="preserve">This timeline runs from today (Wednesday, July 22, 2026) to an MVP complete by December 1, 2026 — roughly 19 build weeks across 4 phases, with December itself reserved for a live pilot rather than more feature work. Every phase below has a hard calendar allocation AND a real completion gate borrowed directly from Terrium's own roadmap (terrium_full.docx, section 5) — the gate is what actually has to be true before the next phase starts, the dates are how much time is budgeted to get there. If a gate is met early, that time gets banked as buffer later, not spent on scope creep. If a gate slips, the buffer built into weeks 3, 8-9, and 19 is what absorbs it before December is at risk.</w:t>
      </w:r>
    </w:p>
    <w:p>
      <w:pPr>
        <w:spacing w:after="160"/>
      </w:pPr>
      <w:r>
        <w:t xml:space="preserve">"Thorough and fast" is not a contradiction here: fast means no wasted motion between phases and no rebuilding the same thing twice; thorough means Phase 1 does not start until Phase 0's validation and compute-model questions are genuinely closed, not assumed. The single riskiest thing in this plan is not the engineering — it's Smyan's validation-loop and equation-pinning work staying one step ahead of Shanmuka and Victor's build work throughout. That dependency is called out explicitly in every phase below.</w:t>
      </w:r>
    </w:p>
    <w:p>
      <w:pPr>
        <w:pStyle w:val="Heading1"/>
        <w:spacing w:after="150" w:before="300"/>
      </w:pPr>
      <w:r>
        <w:rPr>
          <w:b/>
          <w:bCs/>
          <w:color w:val="1D8A72"/>
        </w:rPr>
        <w:t xml:space="preserve">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1200"/>
        <w:gridCol w:w="4140"/>
      </w:tblGrid>
      <w:tr>
        <w:trPr>
          <w:tblHeader/>
        </w:trPr>
        <w:tc>
          <w:tcPr>
            <w:tcW w:type="dxa" w:w="2500"/>
            <w:shd w:fill="1D8A7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Phase</w:t>
            </w:r>
          </w:p>
        </w:tc>
        <w:tc>
          <w:tcPr>
            <w:tcW w:type="dxa" w:w="2500"/>
            <w:shd w:fill="1D8A7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Dates</w:t>
            </w:r>
          </w:p>
        </w:tc>
        <w:tc>
          <w:tcPr>
            <w:tcW w:type="dxa" w:w="2500"/>
            <w:shd w:fill="1D8A7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Duration</w:t>
            </w:r>
          </w:p>
        </w:tc>
        <w:tc>
          <w:tcPr>
            <w:tcW w:type="dxa" w:w="2500"/>
            <w:shd w:fill="1D8A7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Gate to advance</w:t>
            </w:r>
          </w:p>
        </w:tc>
      </w:tr>
      <w:tr>
        <w:tc>
          <w:tcPr>
            <w:tcW w:type="dxa" w:w="2600"/>
            <w:shd w:fill="E7F3E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Phase 0 — Foundation &amp; Validation</w:t>
            </w:r>
          </w:p>
        </w:tc>
        <w:tc>
          <w:tcPr>
            <w:tcW w:type="dxa" w:w="1600"/>
            <w:shd w:fill="E7F3E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Jul 22 – Aug 11</w:t>
            </w:r>
          </w:p>
        </w:tc>
        <w:tc>
          <w:tcPr>
            <w:tcW w:type="dxa" w:w="1200"/>
            <w:shd w:fill="E7F3E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3 weeks</w:t>
            </w:r>
          </w:p>
        </w:tc>
        <w:tc>
          <w:tcPr>
            <w:tcW w:type="dxa" w:w="4140"/>
            <w:shd w:fill="E7F3E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 of 3 validation loops closed with real signal; compute story (user-provided vs. platform) explicitly decided; trivial end-to-end agent handoff runs</w:t>
            </w:r>
          </w:p>
        </w:tc>
      </w:tr>
      <w:tr>
        <w:tc>
          <w:tcPr>
            <w:tcW w:type="dxa" w:w="2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Phase 1 — Prove one domain end-to-end (Michaelis-Menten kinetics)</w:t>
            </w:r>
          </w:p>
        </w:tc>
        <w:tc>
          <w:tcPr>
            <w:tcW w:type="dxa" w:w="1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Aug 12 – Sep 22</w:t>
            </w:r>
          </w:p>
        </w:tc>
        <w:tc>
          <w:tcPr>
            <w:tcW w:type="dxa" w:w="1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6 weeks</w:t>
            </w:r>
          </w:p>
        </w:tc>
        <w:tc>
          <w:tcPr>
            <w:tcW w:type="dxa" w:w="414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Full agent chain, trust layer included, runs on real (non-synthetic) inputs; hallucination-check/critique demonstrably catch at least one real or planted error</w:t>
            </w:r>
          </w:p>
        </w:tc>
      </w:tr>
      <w:tr>
        <w:tc>
          <w:tcPr>
            <w:tcW w:type="dxa" w:w="2600"/>
            <w:shd w:fill="E7F3E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Phase 2 — Expand to all six domains</w:t>
            </w:r>
          </w:p>
        </w:tc>
        <w:tc>
          <w:tcPr>
            <w:tcW w:type="dxa" w:w="1600"/>
            <w:shd w:fill="E7F3E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Sep 23 – Nov 3</w:t>
            </w:r>
          </w:p>
        </w:tc>
        <w:tc>
          <w:tcPr>
            <w:tcW w:type="dxa" w:w="1200"/>
            <w:shd w:fill="E7F3E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6 weeks</w:t>
            </w:r>
          </w:p>
        </w:tc>
        <w:tc>
          <w:tcPr>
            <w:tcW w:type="dxa" w:w="4140"/>
            <w:shd w:fill="E7F3E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Shared pipeline proven reusable across all 6 domains with no per-domain architecture changes</w:t>
            </w:r>
          </w:p>
        </w:tc>
      </w:tr>
      <w:tr>
        <w:tc>
          <w:tcPr>
            <w:tcW w:type="dxa" w:w="2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Phase 3 — First paying pilot + hardening</w:t>
            </w:r>
          </w:p>
        </w:tc>
        <w:tc>
          <w:tcPr>
            <w:tcW w:type="dxa" w:w="1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Nov 4 – Dec 1</w:t>
            </w:r>
          </w:p>
        </w:tc>
        <w:tc>
          <w:tcPr>
            <w:tcW w:type="dxa" w:w="1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4 weeks</w:t>
            </w:r>
          </w:p>
        </w:tc>
        <w:tc>
          <w:tcPr>
            <w:tcW w:type="dxa" w:w="414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One named instructor/lab running Terrium in a real course or research setting under a real, even discounted, paid arrangement</w:t>
            </w:r>
          </w:p>
        </w:tc>
      </w:tr>
      <w:tr>
        <w:tc>
          <w:tcPr>
            <w:tcW w:type="dxa" w:w="2600"/>
            <w:shd w:fill="E7F3E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December — Live pilot + Phase 4 begins</w:t>
            </w:r>
          </w:p>
        </w:tc>
        <w:tc>
          <w:tcPr>
            <w:tcW w:type="dxa" w:w="1600"/>
            <w:shd w:fill="E7F3E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Dec 2 onward</w:t>
            </w:r>
          </w:p>
        </w:tc>
        <w:tc>
          <w:tcPr>
            <w:tcW w:type="dxa" w:w="1200"/>
            <w:shd w:fill="E7F3E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ongoing</w:t>
            </w:r>
          </w:p>
        </w:tc>
        <w:tc>
          <w:tcPr>
            <w:tcW w:type="dxa" w:w="4140"/>
            <w:shd w:fill="E7F3E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MVP declared complete; real usage data starts deciding the flagship domain, not further build sprints</w:t>
            </w:r>
          </w:p>
        </w:tc>
      </w:tr>
    </w:tbl>
    <w:p>
      <w:pPr>
        <w:spacing w:before="300"/>
      </w:pPr>
    </w:p>
    <w:p>
      <w:pPr>
        <w:pStyle w:val="Heading1"/>
        <w:spacing w:after="150" w:before="300"/>
      </w:pPr>
      <w:r>
        <w:rPr>
          <w:b/>
          <w:bCs/>
          <w:color w:val="1D8A72"/>
        </w:rPr>
        <w:t xml:space="preserve">Phase 0 — Foundation &amp; Validation (Jul 22 – Aug 11, 3 weeks)</w:t>
      </w:r>
    </w:p>
    <w:p>
      <w:pPr>
        <w:spacing w:after="160"/>
      </w:pPr>
      <w:r>
        <w:t xml:space="preserve">Gate: 2 of 3 outstanding validation emails (Prof. Tastan Bishop, Dr. Nayim, Dr. Ippoliti) answered with genuine signal; at least one professor directly asked whether they'd pay, not just whether they'd use it; the compute story (user-provided vs. platform-provided HPC/cloud) explicitly decided, since Phase 1's execution-agent design depends on the answer; and a trivial end-to-end agent handoff running in code.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780"/>
        <w:gridCol w:w="2780"/>
        <w:gridCol w:w="2580"/>
      </w:tblGrid>
      <w:tr>
        <w:trPr>
          <w:tblHeader/>
        </w:trPr>
        <w:tc>
          <w:tcPr>
            <w:tcW w:type="dxa" w:w="1400"/>
            <w:shd w:fill="44546A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Week</w:t>
            </w:r>
          </w:p>
        </w:tc>
        <w:tc>
          <w:tcPr>
            <w:tcW w:type="dxa" w:w="2780"/>
            <w:shd w:fill="44546A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Smyan (domain/product/validation)</w:t>
            </w:r>
          </w:p>
        </w:tc>
        <w:tc>
          <w:tcPr>
            <w:tcW w:type="dxa" w:w="2780"/>
            <w:shd w:fill="44546A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Shanmuka (AI/ML lead)</w:t>
            </w:r>
          </w:p>
        </w:tc>
        <w:tc>
          <w:tcPr>
            <w:tcW w:type="dxa" w:w="2580"/>
            <w:shd w:fill="44546A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Victor (backend)</w:t>
            </w:r>
          </w:p>
        </w:tc>
      </w:tr>
      <w:tr>
        <w:tc>
          <w:tcPr>
            <w:tcW w:type="dxa" w:w="1400"/>
            <w:shd w:fill="F2F2F2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Week 1
Jul 22–28</w:t>
            </w:r>
          </w:p>
        </w:tc>
        <w:tc>
          <w:tcPr>
            <w:tcW w:type="dxa" w:w="2780"/>
            <w:shd w:fill="F2F2F2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Send/follow up all 3 validation emails; draft the explicit "would you pay" question, not just "would you use this"; start terrium.ai/.dev/.io + USPTO TESS trademark check</w:t>
            </w:r>
          </w:p>
        </w:tc>
        <w:tc>
          <w:tcPr>
            <w:tcW w:type="dxa" w:w="2780"/>
            <w:shd w:fill="F2F2F2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LiteLLM router config skeleton (model_list per agent role); stand up Ollama locally with llama3.2:3b</w:t>
            </w:r>
          </w:p>
        </w:tc>
        <w:tc>
          <w:tcPr>
            <w:tcW w:type="dxa" w:w="2580"/>
            <w:shd w:fill="F2F2F2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GitHub repo live (done); CI running pytest on push; confirm existing Google OAuth works end-to-end in a throwaway app</w:t>
            </w:r>
          </w:p>
        </w:tc>
      </w:tr>
      <w:tr>
        <w:tc>
          <w:tcPr>
            <w:tcW w:type="dxa" w:w="14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Week 2
Jul 29–Aug 4</w:t>
            </w:r>
          </w:p>
        </w:tc>
        <w:tc>
          <w:tcPr>
            <w:tcW w:type="dxa" w:w="278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Second follow-up round on non-responsive contacts; draft the actual pilot offer — price, scope, semester timing, concretely</w:t>
            </w:r>
          </w:p>
        </w:tc>
        <w:tc>
          <w:tcPr>
            <w:tcW w:type="dxa" w:w="278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Pydantic schemas for Citation, Parameter, AgentHandoff; orchestrator retry/fail-loud behavior on validation errors</w:t>
            </w:r>
          </w:p>
        </w:tc>
        <w:tc>
          <w:tcPr>
            <w:tcW w:type="dxa" w:w="258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Postgres schema (runs, citations, user history) + SQLAlchemy models; Redis instance stood up for citation-lookup caching</w:t>
            </w:r>
          </w:p>
        </w:tc>
      </w:tr>
      <w:tr>
        <w:tc>
          <w:tcPr>
            <w:tcW w:type="dxa" w:w="1400"/>
            <w:shd w:fill="F2F2F2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Week 3
Aug 5–11</w:t>
            </w:r>
          </w:p>
        </w:tc>
        <w:tc>
          <w:tcPr>
            <w:tcW w:type="dxa" w:w="2780"/>
            <w:shd w:fill="F2F2F2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Close the compute-story decision explicitly — this is a real product decision, not a formality</w:t>
            </w:r>
          </w:p>
        </w:tc>
        <w:tc>
          <w:tcPr>
            <w:tcW w:type="dxa" w:w="2780"/>
            <w:shd w:fill="F2F2F2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model_picker() + configuration_agent() as real async functions returning valid AgentHandoff objects; test with a real Michaelis-Menten question end to end</w:t>
            </w:r>
          </w:p>
        </w:tc>
        <w:tc>
          <w:tcPr>
            <w:tcW w:type="dxa" w:w="2580"/>
            <w:shd w:fill="F2F2F2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JupyterLite shell running locally with the Pyodide kernel; confirm numpy/scipy/matplotlib actually load in-browser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DF3E3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b/>
                <w:bCs/>
              </w:rPr>
              <w:t xml:space="preserve">Gate check, end of Week 3</w:t>
            </w:r>
          </w:p>
          <w:p>
            <w:pPr>
              <w:spacing w:before="60"/>
            </w:pPr>
            <w:r>
              <w:t xml:space="preserve">Is 2 of 3 validation loops closed? Is the compute story decided? If not, this is where the schedule absorbs the delay — holding here an extra 3–5 days is cheaper than building Phase 1 on an undecided compute model and re-doing it in October.</w:t>
            </w:r>
          </w:p>
        </w:tc>
      </w:tr>
    </w:tbl>
    <w:p>
      <w:pPr>
        <w:spacing w:before="300"/>
      </w:pPr>
    </w:p>
    <w:p>
      <w:pPr>
        <w:pStyle w:val="Heading1"/>
        <w:spacing w:after="150" w:before="300"/>
      </w:pPr>
      <w:r>
        <w:rPr>
          <w:b/>
          <w:bCs/>
          <w:color w:val="1D8A72"/>
        </w:rPr>
        <w:t xml:space="preserve">Phase 1 — Prove one domain end-to-end: Michaelis-Menten kinetics (Aug 12 – Sep 22, 6 weeks)</w:t>
      </w:r>
    </w:p>
    <w:p>
      <w:pPr>
        <w:spacing w:after="160"/>
      </w:pPr>
      <w:r>
        <w:t xml:space="preserve">Kinetics is the obvious first domain: the BRENDA/KEGG literature-verification layer (brenda_client.py, enzyme_lookup.py, fallback_logic.py) already exists and passes 124 tests as of this session — a real, non-trivial head start for this domain's hallucination-check agent that none of the other five domains have yet.</w:t>
      </w:r>
    </w:p>
    <w:p>
      <w:pPr>
        <w:spacing w:after="160"/>
      </w:pPr>
      <w:r>
        <w:t xml:space="preserve">Gate: the full agent chain, including the trust layer, runs successfully on real (not synthetic) inputs, with hallucination-check and critique demonstrably catching at least one real or deliberately planted error.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780"/>
        <w:gridCol w:w="2780"/>
        <w:gridCol w:w="2580"/>
      </w:tblGrid>
      <w:tr>
        <w:trPr>
          <w:tblHeader/>
        </w:trPr>
        <w:tc>
          <w:tcPr>
            <w:tcW w:type="dxa" w:w="1400"/>
            <w:shd w:fill="44546A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Week</w:t>
            </w:r>
          </w:p>
        </w:tc>
        <w:tc>
          <w:tcPr>
            <w:tcW w:type="dxa" w:w="2780"/>
            <w:shd w:fill="44546A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Smyan (domain/product/validation)</w:t>
            </w:r>
          </w:p>
        </w:tc>
        <w:tc>
          <w:tcPr>
            <w:tcW w:type="dxa" w:w="2780"/>
            <w:shd w:fill="44546A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Shanmuka (AI/ML lead)</w:t>
            </w:r>
          </w:p>
        </w:tc>
        <w:tc>
          <w:tcPr>
            <w:tcW w:type="dxa" w:w="2580"/>
            <w:shd w:fill="44546A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Victor (backend)</w:t>
            </w:r>
          </w:p>
        </w:tc>
      </w:tr>
      <w:tr>
        <w:tc>
          <w:tcPr>
            <w:tcW w:type="dxa" w:w="1400"/>
            <w:shd w:fill="F2F2F2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Week 4
Aug 12–18</w:t>
            </w:r>
          </w:p>
        </w:tc>
        <w:tc>
          <w:tcPr>
            <w:tcW w:type="dxa" w:w="2780"/>
            <w:shd w:fill="F2F2F2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Write the equation-pinning reference doc for Michaelis-Menten — what constants, what scope, what a valid parameter looks like</w:t>
            </w:r>
          </w:p>
        </w:tc>
        <w:tc>
          <w:tcPr>
            <w:tcW w:type="dxa" w:w="2780"/>
            <w:shd w:fill="F2F2F2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Wire fallback_logic.resolve_kinetic_value in as the real literature backend for hallucination-check — the direct payoff of this session's scraper work</w:t>
            </w:r>
          </w:p>
        </w:tc>
        <w:tc>
          <w:tcPr>
            <w:tcW w:type="dxa" w:w="2580"/>
            <w:shd w:fill="F2F2F2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FastAPI skeleton stood up (orchestrator lives here); /simulate/kinetics/setup endpoint scaffolded</w:t>
            </w:r>
          </w:p>
        </w:tc>
      </w:tr>
      <w:tr>
        <w:tc>
          <w:tcPr>
            <w:tcW w:type="dxa" w:w="14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Week 5
Aug 19–25</w:t>
            </w:r>
          </w:p>
        </w:tc>
        <w:tc>
          <w:tcPr>
            <w:tcW w:type="dxa" w:w="278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Recruit/confirm 5–10 real Michaelis-Menten test questions with known literature answers, for the Phase 1 gate</w:t>
            </w:r>
          </w:p>
        </w:tc>
        <w:tc>
          <w:tcPr>
            <w:tcW w:type="dxa" w:w="278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Hallucination-check agent implemented for real, routed to a different underlying model than configuration (per the router config already spec'd)</w:t>
            </w:r>
          </w:p>
        </w:tc>
        <w:tc>
          <w:tcPr>
            <w:tcW w:type="dxa" w:w="258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scipy.integrate.solve_ivp wired into the Pyodide execution path; confirm it runs client-side in an actual browser tab, not just a Python shell</w:t>
            </w:r>
          </w:p>
        </w:tc>
      </w:tr>
      <w:tr>
        <w:tc>
          <w:tcPr>
            <w:tcW w:type="dxa" w:w="1400"/>
            <w:shd w:fill="F2F2F2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Week 6
Aug 26–Sep 1</w:t>
            </w:r>
          </w:p>
        </w:tc>
        <w:tc>
          <w:tcPr>
            <w:tcW w:type="dxa" w:w="2780"/>
            <w:shd w:fill="F2F2F2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Deliberately plant 2–3 wrong constants/citations into test inputs — the real adversarial data the Phase 1 gate requires</w:t>
            </w:r>
          </w:p>
        </w:tc>
        <w:tc>
          <w:tcPr>
            <w:tcW w:type="dxa" w:w="2780"/>
            <w:shd w:fill="F2F2F2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Critique agent (adversarial pass vs. cited sources) + correctness-verification agent (sanity ranges on Km/Vmax)</w:t>
            </w:r>
          </w:p>
        </w:tc>
        <w:tc>
          <w:tcPr>
            <w:tcW w:type="dxa" w:w="2580"/>
            <w:shd w:fill="F2F2F2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JupyterLite cells wired to render real interactive plots (Matplotlib/Plotly) from AgentHandoff output, not console text</w:t>
            </w:r>
          </w:p>
        </w:tc>
      </w:tr>
      <w:tr>
        <w:tc>
          <w:tcPr>
            <w:tcW w:type="dxa" w:w="14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Week 7
Sep 2–8</w:t>
            </w:r>
          </w:p>
        </w:tc>
        <w:tc>
          <w:tcPr>
            <w:tcW w:type="dxa" w:w="278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Run the 5–10 real questions + 2–3 planted-error cases through the live system by hand; log every failure</w:t>
            </w:r>
          </w:p>
        </w:tc>
        <w:tc>
          <w:tcPr>
            <w:tcW w:type="dxa" w:w="278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Integration week: wire all 6 kinetics agents into one real orchestrator run, end to end</w:t>
            </w:r>
          </w:p>
        </w:tc>
        <w:tc>
          <w:tcPr>
            <w:tcW w:type="dxa" w:w="258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Integration week: same, backend/notebook side</w:t>
            </w:r>
          </w:p>
        </w:tc>
      </w:tr>
      <w:tr>
        <w:tc>
          <w:tcPr>
            <w:tcW w:type="dxa" w:w="1400"/>
            <w:shd w:fill="F2F2F2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Week 8
Sep 9–15</w:t>
            </w:r>
          </w:p>
        </w:tc>
        <w:tc>
          <w:tcPr>
            <w:tcW w:type="dxa" w:w="2780"/>
            <w:shd w:fill="F2F2F2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Begin drafting the Phase 1 proof artifact (demo recording / notebook) for mentors and the pilot conversation</w:t>
            </w:r>
          </w:p>
        </w:tc>
        <w:tc>
          <w:tcPr>
            <w:tcW w:type="dxa" w:w="2780"/>
            <w:shd w:fill="F2F2F2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Bug-fix week on real failures from Week 7 — deliberately unstructured on purpose</w:t>
            </w:r>
          </w:p>
        </w:tc>
        <w:tc>
          <w:tcPr>
            <w:tcW w:type="dxa" w:w="2580"/>
            <w:shd w:fill="F2F2F2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Bug-fix week, same</w:t>
            </w:r>
          </w:p>
        </w:tc>
      </w:tr>
      <w:tr>
        <w:tc>
          <w:tcPr>
            <w:tcW w:type="dxa" w:w="14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Week 9
Sep 16–22</w:t>
            </w:r>
          </w:p>
        </w:tc>
        <w:tc>
          <w:tcPr>
            <w:tcW w:type="dxa" w:w="278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Record the Phase 1 demo</w:t>
            </w:r>
          </w:p>
        </w:tc>
        <w:tc>
          <w:tcPr>
            <w:tcW w:type="dxa" w:w="278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Gate check: chain runs on all real inputs? Errors caught?</w:t>
            </w:r>
          </w:p>
        </w:tc>
        <w:tc>
          <w:tcPr>
            <w:tcW w:type="dxa" w:w="258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Buffer days built in here on purpose</w:t>
            </w:r>
          </w:p>
        </w:tc>
      </w:tr>
    </w:tbl>
    <w:p>
      <w:pPr>
        <w:spacing w:before="300"/>
      </w:pPr>
    </w:p>
    <w:p>
      <w:pPr>
        <w:pStyle w:val="Heading1"/>
        <w:spacing w:after="150" w:before="300"/>
      </w:pPr>
      <w:r>
        <w:rPr>
          <w:b/>
          <w:bCs/>
          <w:color w:val="1D8A72"/>
        </w:rPr>
        <w:t xml:space="preserve">Phase 2 — Expand to all six domains (Sep 23 – Nov 3, 6 weeks)</w:t>
      </w:r>
    </w:p>
    <w:p>
      <w:pPr>
        <w:spacing w:after="160"/>
      </w:pPr>
      <w:r>
        <w:t xml:space="preserve">Gate: the shared pipeline proven reusable across all 6 domains with no per-domain architecture changes. Sequencing is deliberate — simplest execution tier first, hardest last, and each domain reuses plumbing proven in an earlier week rather than building fresh.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780"/>
        <w:gridCol w:w="2780"/>
        <w:gridCol w:w="2580"/>
      </w:tblGrid>
      <w:tr>
        <w:trPr>
          <w:tblHeader/>
        </w:trPr>
        <w:tc>
          <w:tcPr>
            <w:tcW w:type="dxa" w:w="1400"/>
            <w:shd w:fill="44546A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Week</w:t>
            </w:r>
          </w:p>
        </w:tc>
        <w:tc>
          <w:tcPr>
            <w:tcW w:type="dxa" w:w="2780"/>
            <w:shd w:fill="44546A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Smyan (domain/product/validation)</w:t>
            </w:r>
          </w:p>
        </w:tc>
        <w:tc>
          <w:tcPr>
            <w:tcW w:type="dxa" w:w="2780"/>
            <w:shd w:fill="44546A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Shanmuka (AI/ML lead)</w:t>
            </w:r>
          </w:p>
        </w:tc>
        <w:tc>
          <w:tcPr>
            <w:tcW w:type="dxa" w:w="2580"/>
            <w:shd w:fill="44546A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Victor (backend)</w:t>
            </w:r>
          </w:p>
        </w:tc>
      </w:tr>
      <w:tr>
        <w:tc>
          <w:tcPr>
            <w:tcW w:type="dxa" w:w="1400"/>
            <w:shd w:fill="F2F2F2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Weeks 10–11
Sep 23–Oct 6</w:t>
            </w:r>
          </w:p>
        </w:tc>
        <w:tc>
          <w:tcPr>
            <w:tcW w:type="dxa" w:w="2780"/>
            <w:shd w:fill="F2F2F2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Equation-pinning reference docs for PCR and Monte Carlo, one week ahead of engineering — this is the actual Phase 2 bottleneck risk, not the code</w:t>
            </w:r>
          </w:p>
        </w:tc>
        <w:tc>
          <w:tcPr>
            <w:tcW w:type="dxa" w:w="2780"/>
            <w:shd w:fill="F2F2F2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PCR amplification configuration/equation-pinning (Tier 1 — pure Pyodide, reuses Phase 1's browser-execution plumbing directly)</w:t>
            </w:r>
          </w:p>
        </w:tc>
        <w:tc>
          <w:tcPr>
            <w:tcW w:type="dxa" w:w="2580"/>
            <w:shd w:fill="F2F2F2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Monte Carlo statistical simulation Pyodide wiring (Tier 1, parallel track to PCR)</w:t>
            </w:r>
          </w:p>
        </w:tc>
      </w:tr>
      <w:tr>
        <w:tc>
          <w:tcPr>
            <w:tcW w:type="dxa" w:w="14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Week 12
Oct 7–13</w:t>
            </w:r>
          </w:p>
        </w:tc>
        <w:tc>
          <w:tcPr>
            <w:tcW w:type="dxa" w:w="278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Population genetics reference doc</w:t>
            </w:r>
          </w:p>
        </w:tc>
        <w:tc>
          <w:tcPr>
            <w:tcW w:type="dxa" w:w="278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Population genetics (Tier 1) — smallest domain, deliberately one week to create schedule slack after the two riskiest "does this generalize" domains</w:t>
            </w:r>
          </w:p>
        </w:tc>
        <w:tc>
          <w:tcPr>
            <w:tcW w:type="dxa" w:w="258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Same</w:t>
            </w:r>
          </w:p>
        </w:tc>
      </w:tr>
      <w:tr>
        <w:tc>
          <w:tcPr>
            <w:tcW w:type="dxa" w:w="1400"/>
            <w:shd w:fill="F2F2F2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Weeks 13–14
Oct 14–27</w:t>
            </w:r>
          </w:p>
        </w:tc>
        <w:tc>
          <w:tcPr>
            <w:tcW w:type="dxa" w:w="2780"/>
            <w:shd w:fill="F2F2F2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SIR/SEIR reference doc</w:t>
            </w:r>
          </w:p>
        </w:tc>
        <w:tc>
          <w:tcPr>
            <w:tcW w:type="dxa" w:w="2780"/>
            <w:shd w:fill="F2F2F2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SIR/SEIR epidemiological modeling (Tier 2 — reuses the solve_ivp scaffolding built for kinetics in Phase 1 directly)</w:t>
            </w:r>
          </w:p>
        </w:tc>
        <w:tc>
          <w:tcPr>
            <w:tcW w:type="dxa" w:w="2580"/>
            <w:shd w:fill="F2F2F2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Same</w:t>
            </w:r>
          </w:p>
        </w:tc>
      </w:tr>
      <w:tr>
        <w:tc>
          <w:tcPr>
            <w:tcW w:type="dxa" w:w="14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Week 15
Oct 28–Nov 3</w:t>
            </w:r>
          </w:p>
        </w:tc>
        <w:tc>
          <w:tcPr>
            <w:tcW w:type="dxa" w:w="278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Molecular dynamics reference doc — scope is GROMACS config generation, not execution (per spec, Terrium doesn't run MD directly)</w:t>
            </w:r>
          </w:p>
        </w:tc>
        <w:tc>
          <w:tcPr>
            <w:tcW w:type="dxa" w:w="278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Molecular dynamics setup-assist (Tier 3) — configuration generation + correctness-verification of that config, which is why this gets one week despite being the "hardest" domain on paper</w:t>
            </w:r>
          </w:p>
        </w:tc>
        <w:tc>
          <w:tcPr>
            <w:tcW w:type="dxa" w:w="258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FastAPI /simulate/md/setup endpoint, real GROMACS file generation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DF3E3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b/>
                <w:bCs/>
              </w:rPr>
              <w:t xml:space="preserve">The real Phase 2 risk</w:t>
            </w:r>
          </w:p>
          <w:p>
            <w:pPr>
              <w:spacing w:before="60"/>
            </w:pPr>
            <w:r>
              <w:t xml:space="preserve">It's Smyan's reference-doc work staying one week ahead of engineering, not the code itself. If a reference doc slips, the domain behind it slips with it — track this explicitly, don't let it hide inside a generic "on track" status.</w:t>
            </w:r>
          </w:p>
        </w:tc>
      </w:tr>
    </w:tbl>
    <w:p>
      <w:pPr>
        <w:spacing w:before="300"/>
      </w:pPr>
    </w:p>
    <w:p>
      <w:pPr>
        <w:pStyle w:val="Heading1"/>
        <w:spacing w:after="150" w:before="300"/>
      </w:pPr>
      <w:r>
        <w:rPr>
          <w:b/>
          <w:bCs/>
          <w:color w:val="1D8A72"/>
        </w:rPr>
        <w:t xml:space="preserve">Phase 3 — First paying pilot + hardening (Nov 4 – Dec 1, 4 weeks)</w:t>
      </w:r>
    </w:p>
    <w:p>
      <w:pPr>
        <w:spacing w:after="160"/>
      </w:pPr>
      <w:r>
        <w:t xml:space="preserve">Gate: one named instructor or teaching lab using Terrium in a real course or research setting, under a real — even discounted — paid arrangement.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780"/>
        <w:gridCol w:w="2780"/>
        <w:gridCol w:w="2580"/>
      </w:tblGrid>
      <w:tr>
        <w:trPr>
          <w:tblHeader/>
        </w:trPr>
        <w:tc>
          <w:tcPr>
            <w:tcW w:type="dxa" w:w="1400"/>
            <w:shd w:fill="44546A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Week</w:t>
            </w:r>
          </w:p>
        </w:tc>
        <w:tc>
          <w:tcPr>
            <w:tcW w:type="dxa" w:w="2780"/>
            <w:shd w:fill="44546A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Smyan (domain/product/validation)</w:t>
            </w:r>
          </w:p>
        </w:tc>
        <w:tc>
          <w:tcPr>
            <w:tcW w:type="dxa" w:w="2780"/>
            <w:shd w:fill="44546A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Shanmuka (AI/ML lead)</w:t>
            </w:r>
          </w:p>
        </w:tc>
        <w:tc>
          <w:tcPr>
            <w:tcW w:type="dxa" w:w="2580"/>
            <w:shd w:fill="44546A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Victor (backend)</w:t>
            </w:r>
          </w:p>
        </w:tc>
      </w:tr>
      <w:tr>
        <w:tc>
          <w:tcPr>
            <w:tcW w:type="dxa" w:w="1400"/>
            <w:shd w:fill="F2F2F2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Week 16
Nov 4–10</w:t>
            </w:r>
          </w:p>
        </w:tc>
        <w:tc>
          <w:tcPr>
            <w:tcW w:type="dxa" w:w="2780"/>
            <w:shd w:fill="F2F2F2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Pilot instructor onboarded with real course material</w:t>
            </w:r>
          </w:p>
        </w:tc>
        <w:tc>
          <w:tcPr>
            <w:tcW w:type="dxa" w:w="2780"/>
            <w:shd w:fill="F2F2F2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Support real pilot usage; triage issues live</w:t>
            </w:r>
          </w:p>
        </w:tc>
        <w:tc>
          <w:tcPr>
            <w:tcW w:type="dxa" w:w="2580"/>
            <w:shd w:fill="F2F2F2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Redis caching tuned under real concurrent load for the first time — not synthetic load</w:t>
            </w:r>
          </w:p>
        </w:tc>
      </w:tr>
      <w:tr>
        <w:tc>
          <w:tcPr>
            <w:tcW w:type="dxa" w:w="14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Week 17
Nov 11–17</w:t>
            </w:r>
          </w:p>
        </w:tc>
        <w:tc>
          <w:tcPr>
            <w:tcW w:type="dxa" w:w="278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Gather real instructor feedback</w:t>
            </w:r>
          </w:p>
        </w:tc>
        <w:tc>
          <w:tcPr>
            <w:tcW w:type="dxa" w:w="278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Patience-policy tuning (multi-minute literature search budgets) based on real usage patterns, not assumptions</w:t>
            </w:r>
          </w:p>
        </w:tc>
        <w:tc>
          <w:tcPr>
            <w:tcW w:type="dxa" w:w="258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Same</w:t>
            </w:r>
          </w:p>
        </w:tc>
      </w:tr>
      <w:tr>
        <w:tc>
          <w:tcPr>
            <w:tcW w:type="dxa" w:w="1400"/>
            <w:shd w:fill="F2F2F2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Week 18
Nov 18–24</w:t>
            </w:r>
          </w:p>
        </w:tc>
        <w:tc>
          <w:tcPr>
            <w:tcW w:type="dxa" w:w="2780"/>
            <w:shd w:fill="F2F2F2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Prep investor/mentor demo narrative</w:t>
            </w:r>
          </w:p>
        </w:tc>
        <w:tc>
          <w:tcPr>
            <w:tcW w:type="dxa" w:w="2780"/>
            <w:shd w:fill="F2F2F2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Explain-Why UI and trust-trail visualization polish</w:t>
            </w:r>
          </w:p>
        </w:tc>
        <w:tc>
          <w:tcPr>
            <w:tcW w:type="dxa" w:w="2580"/>
            <w:shd w:fill="F2F2F2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Security/rate-limiting pass</w:t>
            </w:r>
          </w:p>
        </w:tc>
      </w:tr>
      <w:tr>
        <w:tc>
          <w:tcPr>
            <w:tcW w:type="dxa" w:w="140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Week 19
Nov 25–Dec 1</w:t>
            </w:r>
          </w:p>
        </w:tc>
        <w:tc>
          <w:tcPr>
            <w:tcW w:type="dxa" w:w="278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Final MVP demo recording</w:t>
            </w:r>
          </w:p>
        </w:tc>
        <w:tc>
          <w:tcPr>
            <w:tcW w:type="dxa" w:w="278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Final bug-fix week</w:t>
            </w:r>
          </w:p>
        </w:tc>
        <w:tc>
          <w:tcPr>
            <w:tcW w:type="dxa" w:w="2580"/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Final bug-fix week</w:t>
            </w:r>
          </w:p>
        </w:tc>
      </w:tr>
    </w:tbl>
    <w:p>
      <w:pPr>
        <w:spacing w:before="300"/>
      </w:pPr>
    </w:p>
    <w:p>
      <w:pPr>
        <w:pStyle w:val="Heading1"/>
        <w:spacing w:after="150" w:before="300"/>
      </w:pPr>
      <w:r>
        <w:rPr>
          <w:b/>
          <w:bCs/>
          <w:color w:val="1D8A72"/>
        </w:rPr>
        <w:t xml:space="preserve">December — live pilot, not more build sprints</w:t>
      </w:r>
    </w:p>
    <w:p>
      <w:pPr>
        <w:spacing w:after="160"/>
      </w:pPr>
      <w:r>
        <w:t xml:space="preserve">MVP is declared complete December 1. December itself is real usage time from the paying pilot feeding Phase 4 ("let usage pick the flagship" — terrium_full.docx, section 2.5) — this is the actual point of finishing the build by December 1 rather than December 31: a full month of real engagement data before any decision about where to invest deeper.</w:t>
      </w:r>
    </w:p>
    <w:p>
      <w:pPr>
        <w:pStyle w:val="Heading1"/>
        <w:spacing w:after="150" w:before="300"/>
      </w:pPr>
      <w:r>
        <w:rPr>
          <w:b/>
          <w:bCs/>
          <w:color w:val="1D8A72"/>
        </w:rPr>
        <w:t xml:space="preserve">What could realistically push December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Validation loops (Phase 0) not closing on schedule — this is the single most likely slip point, since it depends on three external people replying, not on Terrium's own team.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The compute-story decision getting revisited mid-build instead of settled in Week 3 — this would force real rework in the execution agent, not just a delay.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Phase 1's hallucination-check/critique gate not being cleanly demonstrable — this is the first real test of the whole trust-layer thesis, and if it needs real redesign rather than tuning, Phase 2's 6-week window assumes a working pattern to replicate 5 more times.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Reference-doc work (Smyan) falling behind engineering in Phase 2 — flagged explicitly above because it's the quiet failure mode most likely to hide inside "on track" status updates.</w:t>
      </w:r>
    </w:p>
    <w:p>
      <w:pPr>
        <w:spacing w:after="160"/>
      </w:pPr>
      <w:r>
        <w:rPr>
          <w:i/>
          <w:iCs/>
        </w:rPr>
        <w:t xml:space="preserve">None of these are reasons to compress the plan up front — they're the reasons weeks 3, 8–9, and 19 exist as absorption points rather than being scheduled as productive build time.</w:t>
      </w:r>
    </w:p>
    <w:p>
      <w:pPr>
        <w:spacing w:before="400"/>
      </w:pPr>
    </w:p>
    <w:p>
      <w:pPr>
        <w:pBdr>
          <w:top w:val="single" w:color="1D8A72" w:sz="8" w:space="4"/>
        </w:pBdr>
        <w:jc w:val="center"/>
      </w:pPr>
      <w:r>
        <w:rPr>
          <w:b/>
          <w:bCs/>
          <w:color w:val="1D8A72"/>
          <w:sz w:val="18"/>
          <w:szCs w:val="18"/>
        </w:rPr>
        <w:t xml:space="preserve">TERRIUM  |  MVP Development Timeline</w:t>
      </w:r>
    </w:p>
    <w:p>
      <w:pPr>
        <w:jc w:val="center"/>
      </w:pPr>
      <w:r>
        <w:rPr>
          <w:color w:val="666666"/>
          <w:sz w:val="16"/>
          <w:szCs w:val="16"/>
        </w:rPr>
        <w:t xml:space="preserve">Confidential  |  July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2026-07-22T12:34:48.449Z</dcterms:created>
  <dcterms:modified xsi:type="dcterms:W3CDTF">2026-07-22T12:34:48.450Z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