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8A72"/>
          <w:sz w:val="52"/>
          <w:szCs w:val="52"/>
        </w:rPr>
        <w:t xml:space="preserve">TERRIUM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 agent pipeline that builds and runs scientific simulations</w:t>
      </w:r>
    </w:p>
    <w:p>
      <w:pPr>
        <w:pBdr>
          <w:bottom w:val="single" w:color="1D8A72" w:sz="4" w:space="8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Brand and Product Spec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July 2026  |  Internal Use Only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Smyan Reddy  |  Formerly Quanticle</w:t>
      </w:r>
    </w:p>
    <w:p>
      <w:pPr>
        <w:pStyle w:val="Heading1"/>
      </w:pPr>
      <w:r>
        <w:rPr>
          <w:rFonts w:ascii="Arial" w:cs="Arial" w:eastAsia="Arial" w:hAnsi="Arial"/>
        </w:rPr>
        <w:t xml:space="preserve">1. Brand identity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Name: Terrium. Coined in the register of real element names (Terbium, Tritium, Yttrium) — sounds like it belongs on the periodic table, signals hard science without being literal or overused. Chosen deliberately over symbol-heavy alternatives for one reason: people have to be able to say it, type it, and search for it. A name nobody can pronounce doesn't spread by word of mouth, which matters most in exactly the professor-to-professor, lab-to-lab distribution this product depends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Wordmark direction: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Lowercase, geometric sans, dark teal (#1D8A72) as the primary color — evokes lab equipment, chemistry, controlled precision. Avoid blue (overused in "AI research tool" branding) and avoid anything that reads as playful or consumer.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Tagline: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"Terrium runs the science." — direct, execution-first, matches the product's actual behavior (it runs simulations, not just plans them).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Tone: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Precise, unshowy, credible to a working scientist. No hype language ("revolutionary," "game-changing"). Say what it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9A441" w:sz="4"/>
              <w:left w:val="single" w:color="D9A441" w:sz="4"/>
              <w:bottom w:val="single" w:color="D9A441" w:sz="4"/>
              <w:right w:val="single" w:color="D9A441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Action needed before public use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Confirm terrium.ai / terrium.dev / terrium.io domain availability and run a USPTO TESS trademark search before using this name in any public-facing material, pitch deck, or investor conversation.</w:t>
            </w:r>
          </w:p>
        </w:tc>
      </w:tr>
    </w:tbl>
    <w:p>
      <w:pPr>
        <w:spacing w:after="200"/>
      </w:pP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What Terrium does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Terrium is an AI-powered agent system that builds and executes a research pipeline across a range of scientific simulations. Given a question in plain English, it runs the simulation directly when it can. When it cannot run automatically, it sets up everything needed — configuration, parameters, environment — so a human can take over from a correct starting point instead of a blank one.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deliverable is not a static answer. It is a live, interactive Jupyter notebook running in the browser: real executable code, real plots and interactive visualizations (built with the Tellurium systems-biology toolkit for kinetics and ODE-based domains), and plain-language explanations attached to every step and parameter.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separate deep-research agent capability sits alongside the simulation pipeline, for questions that require synthesizing literature and prior work rather than running a model — the two systems share the same underlying agent architecture and trust layer.</w:t>
      </w: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The agent pipeline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Execution-first: Terrium attempts to actually run the simulation before falling back to guided setup. The agent chain: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Model-picker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Identifies which simulation type and domain the question requires, across all six live domains.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Configuration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Builds the simulation configuration from equation-pinned constants and known-good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Execution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Runs the simulation directly where possible. This is the default path, not the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Setup-assist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Activates only when direct execution isn't possible (missing compute, ambiguous parameters, external dependency) — prepares a complete, correct configuration for the user to run themselves.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Hallucination-check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Confirms every constant, citation, and claim traces back to a real, pinned source before it's trusted.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Correctness-verification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Confirms code executes and produces the expected shape of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Critique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Adversarial pass, actively looking for what's still wrong, separate from and after the agent that built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Polish agent: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Finalizes explanation clarity and notebook formatting — runs last, after correctness is settled.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Deep-research agent(s):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For literature-synthesis questions, runs alongside the simulation chain, sharing the same hallucination-check and critique agents.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Every domain runs through this same chain. No domain is treated as a special case at the architecture level.</w:t>
      </w: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The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Runs in the browser: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No local environment setup required — the notebook executes server-side and streams back to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Interactive, not static: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Users can adjust parameters and re-run cells live, not just read a fixed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Rich visualization via Tellurium: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For kinetics, ODE-based, and systems-biology domains, plots and dynamic simulations render using the Tellurium toolkit rather than static matplotlib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Explain Why throughout: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Every parameter and every agent decision carries a plain-language explanation, visible inline.</w:t>
      </w: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Domains at launch — six, treated equally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PCR amplification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Michaelis-Menten enzyme kinetics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SIR / SEIR epidemiological modelling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Monte Carlo statistical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Population genetics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Molecular dynamics setup and execution</w:t>
      </w:r>
    </w:p>
    <w:p>
      <w:pPr>
        <w:spacing w:after="1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 domain is designated a flagship in advance. Which domain gets deeper investment is decided later, based on real usage data once users are on the platform — not decided from the founding team's personal expertise alone. New domains beyond these six are added only once equation-pinning and known-good reference data can be defined for them.</w:t>
      </w: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University course instructors and small teaching labs running computational coursework across any of the six domains — they can justify a tooling budget line and currently lose real time and compute to student setup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Individual grad students and early-career researchers who need to run a simulation correctly without deep domain expertise in the specific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Validation contacts already in network: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Prof. Tastan Bishop (Rhodes/RUBi), Dr. Nayim, Dr. Ippoliti — email loops open, replies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9A441" w:sz="4"/>
              <w:left w:val="single" w:color="D9A441" w:sz="4"/>
              <w:bottom w:val="single" w:color="D9A441" w:sz="4"/>
              <w:right w:val="single" w:color="D9A441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Honesty check, carried over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Demand for this direction is not yet independently validated by users — it is chosen because it matches the team's real technical strengths and has a nameable path to a paying customer. Closing the three validation email loops and naming one real paying buyer remain open before committing further build time.</w:t>
            </w:r>
          </w:p>
        </w:tc>
      </w:tr>
    </w:tbl>
    <w:p>
      <w:pPr>
        <w:spacing w:after="200"/>
      </w:pP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Build once, ship across all six domains: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the shared agent chain applies uniformly — no domain gets special-cased in the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Let usage decide the flagship: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instrument every domain equally at launch and follow real engagement data to decide where to double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Sell to instructors first: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 named, budget-holding buyer beats an unnamed "students"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Compute stays the user's, for now: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v1 assumes the user has their own HPC or cloud access where execution requires heavy compute; Terrium handles configuration, execution orchestration, and verification, not compute provisioning.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Trust is the moat: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the four-agent trust layer (hallucination-check, correctness-verification, critique, polish) is what differentiates this from a single-LLM wrapper — lead with it in every pitch.</w:t>
      </w: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Team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Smyan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Domain expert / 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Owns correctness knowledge across domains, closes validation loops, manages Tastan Bishop / Nayim / Ippoliti relationships, brand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Shanmuka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AI/ML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Builds the full agent chain including execution and setup-assist agents, the trust layer, deep-research agents, and the orchestrator across all six domains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Browser-based notebook execution environment, Tellurium integration, file handling, backend for orchestrator</w:t>
            </w:r>
          </w:p>
        </w:tc>
      </w:tr>
    </w:tbl>
    <w:p>
      <w:pPr>
        <w:spacing w:after="200"/>
      </w:pPr>
    </w:p>
    <w:p>
      <w:pPr>
        <w:pBdr>
          <w:bottom w:val="single" w:color="1D8A72" w:sz="4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9. What is explicitly out of scope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Data Hub / research data organization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Systematic Review Assistant and Meta-Analysis Assistant as standalone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NSRI partnership dependency — no longer a distribution assumption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Providing or brokering compute for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Domains beyond the six listed, until equation-pinning and reference data exist for a new one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D8A72"/>
          <w:sz w:val="20"/>
          <w:szCs w:val="20"/>
        </w:rPr>
        <w:t xml:space="preserve">TERRIUM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Terrium runs the science.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 |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8A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2026-07-16T10:35:01.133Z</dcterms:created>
  <dcterms:modified xsi:type="dcterms:W3CDTF">2026-07-16T10:35:01.154Z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