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D8A72"/>
          <w:sz w:val="44"/>
          <w:szCs w:val="44"/>
        </w:rPr>
        <w:t xml:space="preserve">TERRIUM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Actual Technical Implementation — stack, code, real technologies</w:t>
      </w:r>
    </w:p>
    <w:p>
      <w:pPr>
        <w:pBdr>
          <w:bottom w:val="single" w:color="1D8A72" w:sz="4" w:space="6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1. Full stack, by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8A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8A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FastAPI (Python) — async endpoints, already Shanmuka's stated plan. Runs the orchestrator and all Tier 3 execution.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Agent orchestration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Phase 0.5/1: hand-rolled Python (async functions calling each other in sequence, no framework). Phase 2+: LangGraph, evaluated once the team understands the coordination problem firsthand.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Model routing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LiteLLM — python package, wraps every provider behind one call signature: litellm.completion(model=..., messages=...). Config-driven routing per agent (below).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Local inference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Ollama, running a small model (e.g. llama3.2:3b or qwen2.5:3b class) via its local REST API on localhost:11434, called through LiteLLM's ollama/ provider prefix.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Schema 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Pydantic v2 — every agent handoff object (citation, parameter, verification result) is a Pydantic model. Invalid output raises a validation error the orchestrator catches, not a silent pass-through.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Client-side execution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Pyodide (Python-in-WASM) loaded via CDN script tag in the browser for Tier 1/2 domains. Runs entirely in the user's browser tab, no server round-trip for execution itself.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Notebook interface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JupyterLite — the actual notebook UI shell, configured to use its Pyodide kernel for Tier 1/2, with a custom kernel/proxy for Tier 3 that streams results from the FastAPI backend instead.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React, with the JupyterLite iframe/component embedded rather than rebuilt from scratch.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Literature APIs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Direct REST calls (httpx, async) to NCBI E-utilities (PubMed), Semantic Scholar API, OpenAlex API, arXiv API, CrossRef API. No SDK needed — these are plain REST/XML or REST/JSON endpoints.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State / caching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Redis for short-lived agent-run state and citation-lookup caching (avoid re-querying PubMed for the same claim twice in one session).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Postgres — stores completed runs, citation objects, and user history. SQLAlchemy as the ORM if the team wants type safety with FastAPI.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19"/>
                <w:szCs w:val="19"/>
              </w:rPr>
              <w:t xml:space="preserve">Already built by Victor — Google OAuth, reused as-is.</w:t>
            </w:r>
          </w:p>
        </w:tc>
      </w:tr>
    </w:tbl>
    <w:p>
      <w:pPr>
        <w:spacing w:after="180"/>
      </w:pPr>
    </w:p>
    <w:p>
      <w:pPr>
        <w:pBdr>
          <w:bottom w:val="single" w:color="1D8A72" w:sz="4" w:space="6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2. LiteLLM routing config, concretely</w:t>
      </w:r>
    </w:p>
    <w:p>
      <w:pPr>
        <w:spacing w:after="14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This is the actual config that enforces “different model checks the work than the one that generated it.” LiteLLM's router.json (or Python Router object) maps agent role to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E1E2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from litellm import Router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model_list =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"model_name": "agent-model-picker",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"litellm_params": {"model": "ollama/llama3.2:3b", "api_base": "http://localhost:11434"}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"model_name": "agent-configuration",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"litellm_params": {"model": "claude-sonnet-4-5", "api_key": "os.environ/ANTHROPIC_API_KEY"}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"model_name": "agent-hallucination-check",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"litellm_params": {"model": "gpt-4o", "api_key": "os.environ/OPENAI_API_KEY"}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# deliberately a DIFFERENT provider than configuration agent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"model_name": "agent-critique",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"litellm_params": {"model": "gpt-4o", "api_key": "os.environ/OPENAI_API_KEY"}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"model_name": "agent-polish",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"litellm_params": {"model": "ollama/llama3.2:3b", "api_base": "http://localhost:11434"}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router = Router(model_list=model_list)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response = await router.acompletion(model="agent-configuration", messages=[...])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The key line is that agent-configuration and agent-hallucination-check point to different underlying providers (Anthropic vs OpenAI). That's the actual mechanism behind the “LLM-as-judge, independent verification” claim — it's this config, not a design principle floating in prose.</w:t>
      </w:r>
    </w:p>
    <w:p>
      <w:pPr>
        <w:pBdr>
          <w:bottom w:val="single" w:color="1D8A72" w:sz="4" w:space="6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3. The citation object, as real Pydantic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E1E2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from pydantic import BaseModel, Field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from typing import Optional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class Citation(BaseModel):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doi: Optional[str] = None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title: str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source_api: str  # "pubmed" | "semantic_scholar" | "openalex" | "arxiv"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abstract_excerpt: str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relevance_score: float = Field(ge=0.0, le=1.0)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class Parameter(BaseModel):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name: str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value: float | str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citation: Optional[Citation] = None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unbacked: bool = False  # True only after the full patience-policy search failed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search_attempts: int = 0  # must be &gt;= 3 before unbacked=True is valid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class AgentHandoff(BaseModel):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status: str  # "ok" | "needs_clarification" | "failed"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data: dict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citations: list[Citation] = 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confidence: float = Field(ge=0.0, le=1.0)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flags: list[str] = []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This is enforced, not advisory: any agent function that returns something that doesn't validate against AgentHandoff raises a Pydantic ValidationError, which the orchestrator catches and retries or fails loudly on — it never silently passes malformed data downstream.</w:t>
      </w:r>
    </w:p>
    <w:p>
      <w:pPr>
        <w:pBdr>
          <w:bottom w:val="single" w:color="1D8A72" w:sz="4" w:space="6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4. Literature search, concretely (the patience policy as real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E1E2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async def find_citation(claim: str, min_attempts: int = 3) -&gt; Citation | None: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query_variants = generate_query_reformulations(claim)  # LLM call: synonyms, related terms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sources = ["pubmed", "semantic_scholar", "openalex", "arxiv"]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attempts =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for query in query_variants: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    for source in sources[:2]:  # at least 2 of 4 sources per policy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        results = await search_literature_api(source, query)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        attempts +=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        for paper in results: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            if await semantic_match(claim, paper.abstract):  # separate LLM call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                return Citation(doi=paper.doi, title=paper.title,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                                source_api=source, abstract_excerpt=paper.abstract[:500],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                                relevance_score=paper.score)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    if attempts &gt;= min_attempts: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return None  # genuinely searched, genuinely not found — valid outcome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Note this makes multiple real network calls per claim (query generation, multiple API searches, semantic match check per candidate paper) — which is exactly why this takes real minutes, not seconds, and why caching (Redis) matters once this runs at any scale.</w:t>
      </w:r>
    </w:p>
    <w:p>
      <w:pPr>
        <w:pBdr>
          <w:bottom w:val="single" w:color="1D8A72" w:sz="4" w:space="6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5. Execution tiers, concretely</w:t>
      </w:r>
    </w:p>
    <w:p>
      <w:pPr>
        <w:spacing w:after="14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Tier 1/2 (Pyodide, browser-side):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E1E2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&lt;script src="https://cdn.jsdelivr.net/pyodide/v314.0.2/full/pyodide.js"&gt;&lt;/script&gt;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&lt;script&gt;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async function runInBrowser(pyCode)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let pyodide = await loadPyodide();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await pyodide.loadPackage(["numpy", "scipy", "matplotlib"]);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return await pyodide.runPythonAsync(pyCode);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&lt;/script&gt;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Tier 3 (server-side, setup-assist), FastAPI endpoint: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E1E2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@app.post("/simulate/md/setup")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async def md_setup(request: MDSetupRequest):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config = await run_configuration_agent(request)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verified = await run_hallucination_check(config)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critiqued = await run_critique(verified)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    "gromacs_files": generate_gromacs_input(critiqued),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    "explanation_notebook": build_notebook_cells(critiqued),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    "status": "setup_complete"  # never "execution_complete" for MD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0E0E8"/>
                <w:sz w:val="18"/>
                <w:szCs w:val="18"/>
              </w:rPr>
              <w:t xml:space="preserve">    }</w:t>
            </w:r>
          </w:p>
        </w:tc>
      </w:tr>
    </w:tbl>
    <w:p>
      <w:pPr>
        <w:pBdr>
          <w:bottom w:val="single" w:color="1D8A72" w:sz="4" w:space="6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6. What Shanmuka actually builds first (Phase 0.5, concretely)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Step 1: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Two Python async functions, model_picker() and configuration_agent(), each returning a Pydantic AgentHandoff object.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Step 2: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One orchestrator function that calls model_picker(), validates the output, passes the relevant piece to configuration_agent(), validates that output.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Step 3: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Test input: a real, simplified Michaelis-Menten question ("what's a typical Km for hexokinase"), not a toy string.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Success criteria: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the handoff between the two agents is a valid AgentHandoff object every time, and configuration_agent() actually calls find_citation() rather than inventing a number.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No framework, no Ollama config, no literature APIs required yet for this specific step —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can be tested with a single hardcoded model call first to prove the handoff mechanics work, then wire in real search.</w:t>
      </w:r>
    </w:p>
    <w:p>
      <w:pPr>
        <w:spacing w:before="260"/>
        <w:jc w:val="center"/>
      </w:pPr>
      <w:r>
        <w:rPr>
          <w:rFonts w:ascii="Arial" w:cs="Arial" w:eastAsia="Arial" w:hAnsi="Arial"/>
          <w:b/>
          <w:bCs/>
          <w:color w:val="1D8A72"/>
          <w:sz w:val="19"/>
          <w:szCs w:val="19"/>
        </w:rPr>
        <w:t xml:space="preserve">TERRIUM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Technical Implementation</w:t>
      </w:r>
    </w:p>
    <w:p>
      <w:pPr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Confidential  |  July 2026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D8A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B1B1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2026-07-18T15:17:41.687Z</dcterms:created>
  <dcterms:modified xsi:type="dcterms:W3CDTF">2026-07-18T15:17:41.699Z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