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 w:eastAsia="黑体"/>
          <w:b/>
          <w:color w:val="1A478A"/>
          <w:sz w:val="44"/>
        </w:rPr>
        <w:t>CHORA 工作空间</w:t>
      </w:r>
    </w:p>
    <w:p>
      <w:pPr>
        <w:spacing w:before="360" w:after="160"/>
      </w:pPr>
      <w:r>
        <w:rPr>
          <w:rFonts w:ascii="Arial" w:hAnsi="Arial" w:eastAsia="黑体"/>
          <w:b/>
          <w:color w:val="1A478A"/>
          <w:sz w:val="32"/>
        </w:rPr>
        <w:t>设想3：Model SVD 方向的多项式激活模型行为学分析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工作台：MEF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座位：II · The Anatomist（解剖学家）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空间：weight space（权重空间）</w:t>
      </w:r>
    </w:p>
    <w:p>
      <w:pPr>
        <w:spacing w:before="80" w:after="40"/>
      </w:pPr>
      <w:r>
        <w:rPr>
          <w:rFonts w:ascii="Arial" w:hAnsi="Arial" w:eastAsia="黑体"/>
          <w:b/>
          <w:color w:val="1A478A"/>
          <w:sz w:val="20"/>
        </w:rPr>
        <w:t>核心任务：SVD ablation of real LLMs (Qwen2.5 + RTE), LoRA rigs; the fine-scale verdict on σ-position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【你的提问】</w:t>
      </w:r>
    </w:p>
    <w:p>
      <w:pPr>
        <w:spacing w:line="360" w:lineRule="auto" w:after="120"/>
        <w:ind w:left="425"/>
      </w:pPr>
      <w:r>
        <w:rPr>
          <w:rFonts w:ascii="Times New Roman" w:hAnsi="Times New Roman" w:eastAsia="宋体"/>
          <w:b w:val="0"/>
          <w:sz w:val="24"/>
        </w:rPr>
        <w:t>设想3. 在modell svd方向利用qwen的利用多项式激活函数训练的模型进行参数矩阵的行为学分析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【CHORA 视角下的分析与建议】</w:t>
      </w:r>
    </w:p>
    <w:p>
      <w:pPr>
        <w:spacing w:before="160" w:after="80"/>
      </w:pPr>
      <w:r>
        <w:rPr>
          <w:rFonts w:ascii="Arial" w:hAnsi="Arial" w:eastAsia="黑体"/>
          <w:b/>
          <w:sz w:val="24"/>
        </w:rPr>
        <w:t>The Anatomist 的视角</w:t>
      </w:r>
    </w:p>
    <w:p>
      <w:pPr>
        <w:spacing w:line="360" w:lineRule="auto" w:after="160"/>
        <w:ind w:left="567" w:right="567"/>
      </w:pPr>
      <w:r>
        <w:rPr>
          <w:rFonts w:ascii="Times New Roman" w:hAnsi="Times New Roman" w:eastAsia="楷体"/>
          <w:b w:val="0"/>
          <w:color w:val="555555"/>
          <w:sz w:val="22"/>
        </w:rPr>
        <w:t>"Cut it open. The middle of the spectrum is a corpse with opinions."</w:t>
      </w:r>
    </w:p>
    <w:p>
      <w:pPr>
        <w:spacing w:line="360" w:lineRule="auto" w:after="160"/>
        <w:ind w:left="567" w:right="567"/>
      </w:pPr>
      <w:r>
        <w:rPr>
          <w:rFonts w:ascii="Times New Roman" w:hAnsi="Times New Roman" w:eastAsia="楷体"/>
          <w:b w:val="0"/>
          <w:color w:val="555555"/>
          <w:sz w:val="22"/>
        </w:rPr>
        <w:t>The Anatomist 只展示来自真实矩阵的数字；对跳过手术刀的装饰性说法持永久异议立场。</w:t>
      </w:r>
    </w:p>
    <w:p>
      <w:pPr>
        <w:spacing w:before="160" w:after="80"/>
      </w:pPr>
      <w:r>
        <w:rPr>
          <w:rFonts w:ascii="Arial" w:hAnsi="Arial" w:eastAsia="黑体"/>
          <w:b/>
          <w:sz w:val="24"/>
        </w:rPr>
        <w:t>当前研究背景：SVD 分析模型权重已有重要发现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"内力不变，招式全换" — 近等谱性现象（near-isospectrality）：德州大学奥斯汀分校的研究团队用 SVD 对强化学习训练后的模型权重矩阵进行了系统分析，发现对权重矩阵 W 做 SVD 分解为 U·Σ·V 后，强化学习训练结束后，奇异值谱 Σ 几乎纹丝未动（变化幅度仅约万分之一），99% 以上的权重变化发生在 U 和 V 这两个"方向"上。作为对比，监督微调（SFT）会让奇异值谱发生剧烈变化（奇异值残差高达约 35%），是强化学习的几百到上千倍。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谱几何与推理行为的关联：另一项"Transformer 推理的谱几何"研究发现，对模型每一层的激活矩阵做 SVD，观察奇异值的衰减规律（幂律指数 α），可以：当模型从"事实回忆"切换到"多步推理"时，激活谱会发生可测量的"相变"；仅凭单个谱指数 α，就能在模型生成最终答案之前近乎完美地预测推理是否正确。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Qwen 生态已有的工具基础：Qwen-Scope（2026年4月发布）——阿里通义团队基于 Qwen3/3.5 构建的稀疏自编码器可解释性框架；SWD（Sparse Weight Decomposition）——至知研究院提出的方法，仅用不到 1% 的数据就能高保真地分解 Qwen 模型权重。</w:t>
      </w:r>
    </w:p>
    <w:p>
      <w:pPr>
        <w:spacing w:before="160" w:after="80"/>
      </w:pPr>
      <w:r>
        <w:rPr>
          <w:rFonts w:ascii="Arial" w:hAnsi="Arial" w:eastAsia="黑体"/>
          <w:b/>
          <w:sz w:val="24"/>
        </w:rPr>
        <w:t>你的设想可以这样落地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第一步：训练多项式激活的 Qwen 模型。从 Qwen 的小规模版本（如 Qwen2.5-0.5B 或 1.5B）出发，替换 FFN 层的 SwiGLU 激活为多项式激活函数（比如从 jacobiGP 项目中迁移过来的 Jacobi 多项式基），用相同的数据和训练配置训练，得到一个"多项式版 Qwen"。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第二步：SVD 对比分析。对标准 Qwen 和多项式 Qwen 的每一层权重矩阵分别做 SVD，对比奇异值谱的分布差异，观察多项式激活是否导致不同的谱衰减模式，观察 U 和 V 矩阵的变化模式。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第三步：行为学关联。在推理过程中，逐层记录激活矩阵的 SVD，观察谱指数的动态变化，对比两种模型在相同任务上的"思维几何"差异，验证多项式激活是否改变了模型"思考"的几何结构。</w:t>
      </w:r>
    </w:p>
    <w:p>
      <w:pPr>
        <w:spacing w:before="240" w:after="120"/>
      </w:pPr>
      <w:r>
        <w:rPr>
          <w:rFonts w:ascii="Arial" w:hAnsi="Arial" w:eastAsia="黑体"/>
          <w:b/>
          <w:color w:val="2E74B5"/>
          <w:sz w:val="28"/>
        </w:rPr>
        <w:t>The Anatomist 的约束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只展示来自真实矩阵的数字。拒绝将后HOC截断被 filed 在自己的 regime row 中——唯一被允许问"你有没有见过实际模型的中间谱？"的人。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对任何关于预训练网络奇异值结构的声称，如果没有锚定到某个产物的(path, sha256)，The Anatomist 持异议。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• 法则2：没有哈希就不跨bench传递。每个共享字节携带 manifest 条目。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