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Arial" w:hAnsi="Arial" w:eastAsia="黑体"/>
          <w:b/>
          <w:color w:val="1A478A"/>
          <w:sz w:val="44"/>
        </w:rPr>
        <w:t>CHORA 工作空间</w:t>
      </w:r>
    </w:p>
    <w:p>
      <w:pPr>
        <w:spacing w:before="360" w:after="160"/>
      </w:pPr>
      <w:r>
        <w:rPr>
          <w:rFonts w:ascii="Arial" w:hAnsi="Arial" w:eastAsia="黑体"/>
          <w:b/>
          <w:color w:val="1A478A"/>
          <w:sz w:val="32"/>
        </w:rPr>
        <w:t>设想4：矩阵分解工具在 Qwen 系列模型上的行为科学探索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Arial" w:hAnsi="Arial" w:eastAsia="黑体"/>
          <w:b/>
          <w:color w:val="1A478A"/>
          <w:sz w:val="20"/>
        </w:rPr>
        <w:t>工作台：MEF（与设想3互补）</w:t>
      </w:r>
    </w:p>
    <w:p>
      <w:pPr>
        <w:spacing w:before="80" w:after="40"/>
      </w:pPr>
      <w:r>
        <w:rPr>
          <w:rFonts w:ascii="Arial" w:hAnsi="Arial" w:eastAsia="黑体"/>
          <w:b/>
          <w:color w:val="1A478A"/>
          <w:sz w:val="20"/>
        </w:rPr>
        <w:t>座位：II · The Anatomist（解剖学家）</w:t>
      </w:r>
    </w:p>
    <w:p>
      <w:pPr>
        <w:spacing w:before="80" w:after="40"/>
      </w:pPr>
      <w:r>
        <w:rPr>
          <w:rFonts w:ascii="Arial" w:hAnsi="Arial" w:eastAsia="黑体"/>
          <w:b/>
          <w:color w:val="1A478A"/>
          <w:sz w:val="20"/>
        </w:rPr>
        <w:t>空间：weight space（权重空间）</w:t>
      </w:r>
    </w:p>
    <w:p>
      <w:pPr>
        <w:spacing w:before="80" w:after="40"/>
      </w:pPr>
      <w:r>
        <w:rPr>
          <w:rFonts w:ascii="Arial" w:hAnsi="Arial" w:eastAsia="黑体"/>
          <w:b/>
          <w:color w:val="1A478A"/>
          <w:sz w:val="20"/>
        </w:rPr>
        <w:t>核心任务：SVD ablation + SWD/SAE behavioral dissection of real LLMs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Arial" w:hAnsi="Arial" w:eastAsia="黑体"/>
          <w:b/>
          <w:color w:val="2E74B5"/>
          <w:sz w:val="28"/>
        </w:rPr>
        <w:t>【你的提问】</w:t>
      </w:r>
    </w:p>
    <w:p>
      <w:pPr>
        <w:spacing w:line="360" w:lineRule="auto" w:after="120"/>
        <w:ind w:left="425"/>
      </w:pPr>
      <w:r>
        <w:rPr>
          <w:rFonts w:ascii="Times New Roman" w:hAnsi="Times New Roman" w:eastAsia="宋体"/>
          <w:b w:val="0"/>
          <w:sz w:val="24"/>
        </w:rPr>
        <w:t>设想4：利用矩阵分解工具在Qwen系列模型上探索模型的行为科学</w:t>
      </w:r>
    </w:p>
    <w:p>
      <w:pPr>
        <w:spacing w:before="240" w:after="120"/>
      </w:pPr>
      <w:r>
        <w:rPr>
          <w:rFonts w:ascii="Arial" w:hAnsi="Arial" w:eastAsia="黑体"/>
          <w:b/>
          <w:color w:val="2E74B5"/>
          <w:sz w:val="28"/>
        </w:rPr>
        <w:t>【CHORA 视角下的分析与建议】</w:t>
      </w:r>
    </w:p>
    <w:p>
      <w:pPr>
        <w:spacing w:before="160" w:after="80"/>
      </w:pPr>
      <w:r>
        <w:rPr>
          <w:rFonts w:ascii="Arial" w:hAnsi="Arial" w:eastAsia="黑体"/>
          <w:b/>
          <w:sz w:val="24"/>
        </w:rPr>
        <w:t>与设想3的关系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设想3用SVD做"谱分析"（看整体几何形态），设想4用矩阵分解做"行为解剖"（拆具体功能回路）。一个看整体谱结构，一个拆具体功能回路——两者在 The Anatomist 的座位上互补。</w:t>
      </w:r>
    </w:p>
    <w:p>
      <w:pPr>
        <w:spacing w:before="160" w:after="80"/>
      </w:pPr>
      <w:r>
        <w:rPr>
          <w:rFonts w:ascii="Arial" w:hAnsi="Arial" w:eastAsia="黑体"/>
          <w:b/>
          <w:sz w:val="24"/>
        </w:rPr>
        <w:t>当前 Qwen 生态中已有的矩阵分解工具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SWD（稀疏权重分解）— 最直接的工具：至知创新研究院与牛津、斯坦福、清华合作提出的方法，核心思路是把稠密权重矩阵 W 分解为两个稀疏矩阵 A 和 B（W ≈ AB），共享的中间维度变成可独立评分、选择和消融的"瓶颈单元"。数据成本不到 Transcoder 等训练型基线的 1%，已在 Qwen2.5 和 Qwen3.5-27B 上验证，还覆盖了 GPT-2 Small 全部 48 个注意力和 MLP 权重矩阵，提供完全不需要校准文本的 zero-data 版本。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Qwen-Scope — 官方可解释性框架：阿里千问团队基于 Qwen3/3.5 系列训练的稀疏自编码器（SAE），将 5120 维的稠密隐藏状态"翻译"成 81920 维稀疏表示，每次只有约 50 个特征被激活，每个特征对应一个可理解的语义概念（如"金融文本""代码注释""道歉语气"）。覆盖 Qwen3 和 Qwen3.5 的稠密模型和 MoE 模型，共 14 组 SAE 权重。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Qwen3-Embedding SVD 诊断工具：专门针对嵌入空间的谱分析，发现 768 维向量中前 50 个奇异值就承载了超过 82% 的协方差能量，末尾 300 维总贡献不足 0.7%。支持自动识别有效子空间、截断 SVD 裁剪等。</w:t>
      </w:r>
    </w:p>
    <w:p>
      <w:pPr>
        <w:spacing w:before="160" w:after="80"/>
      </w:pPr>
      <w:r>
        <w:rPr>
          <w:rFonts w:ascii="Arial" w:hAnsi="Arial" w:eastAsia="黑体"/>
          <w:b/>
          <w:sz w:val="24"/>
        </w:rPr>
        <w:t>你可以探索的行为科学方向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方向一：任务回路提取与行为归因。用 SWD 对 Qwen 的每一层权重做分解，给模型输入不同类型的问题（数学推理、代码生成、创意写作、事实问答），对每种任务找出被高度激活的瓶颈单元集合，消融这些单元观察对应能力是否消失，最终绘制出一张"Qwen 行为地图"。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方向二：训练阶段的谱演化追踪。在 Qwen 的不同 checkpoint 上分别做矩阵分解，追踪每个瓶颈单元从预训练到 SFT 到 RLHF 的"生命周期"，哪些单元是预训练就有的"先天能力"，哪些是后训练"后天习得"的。这和设想3的近等谱性发现可以交叉验证。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方向三：多项式激活 vs 标准激活的行为差异。对设想3中训练出的"多项式版 Qwen"也做同样的 SWD 分解，对比两种模型的行为回路结构差异，多项式激活是否产生了标准模型中不存在的新型瓶颈单元？这直接连接了设想2和设想4。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方向四：跨模型的行为谱系分析。对 Qwen3-1.7B、Qwen3.5-27B 等不同规模的模型做统一分解，观察随着模型变大，行为回路的组织结构如何演化。</w:t>
      </w:r>
    </w:p>
    <w:p>
      <w:pPr>
        <w:spacing w:before="240" w:after="120"/>
      </w:pPr>
      <w:r>
        <w:rPr>
          <w:rFonts w:ascii="Arial" w:hAnsi="Arial" w:eastAsia="黑体"/>
          <w:b/>
          <w:color w:val="2E74B5"/>
          <w:sz w:val="28"/>
        </w:rPr>
        <w:t>The Anatomist 的约束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• 只展示来自真实矩阵的数字。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• 对任何关于预训练网络奇异值结构的声称，如果没有锚定到某个产物的(path, sha256)，持异议。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• 法则5：负面结果是第一公民。绝不悄悄丢弃。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