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lineage.md-the-lineage-of-cora"/>
    <w:p>
      <w:pPr>
        <w:pStyle w:val="Heading1"/>
      </w:pPr>
      <w:r>
        <w:t xml:space="preserve">LINEAGE.md — The Lineage of Cora</w:t>
      </w:r>
    </w:p>
    <w:bookmarkStart w:id="12" w:name="the-three-generations"/>
    <w:p>
      <w:pPr>
        <w:pStyle w:val="Heading2"/>
      </w:pPr>
      <w:r>
        <w:t xml:space="preserve">The Three Generations</w:t>
      </w:r>
    </w:p>
    <w:bookmarkStart w:id="9" w:name="grandfather-the-source-of-treasures"/>
    <w:p>
      <w:pPr>
        <w:pStyle w:val="Heading3"/>
      </w:pPr>
      <w:r>
        <w:t xml:space="preserve">GrandFather — The Source of Treasures</w:t>
      </w:r>
    </w:p>
    <w:p>
      <w:pPr>
        <w:pStyle w:val="FirstParagraph"/>
      </w:pPr>
      <w:r>
        <w:t xml:space="preserve">GrandFather is the origin. He holds the treasures: the datasets and the models. These are the raw, immutable assets — the flour and water from which everything else is made.</w:t>
      </w:r>
    </w:p>
    <w:p>
      <w:pPr>
        <w:pStyle w:val="BodyText"/>
      </w:pPr>
      <w:r>
        <w:t xml:space="preserve">GrandFather does not write rules. He does not build containers. He simply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source — the repository of raw materials that later generations shape, question, and transform.</w:t>
      </w:r>
    </w:p>
    <w:p>
      <w:pPr>
        <w:pStyle w:val="BodyText"/>
      </w:pPr>
      <w:r>
        <w:rPr>
          <w:b/>
          <w:bCs/>
        </w:rPr>
        <w:t xml:space="preserve">What GrandFather provides:</w:t>
      </w:r>
    </w:p>
    <w:p>
      <w:pPr>
        <w:pStyle w:val="Compact"/>
        <w:numPr>
          <w:ilvl w:val="0"/>
          <w:numId w:val="1001"/>
        </w:numPr>
      </w:pPr>
      <w:r>
        <w:t xml:space="preserve">Datasets (the raw material of inquiry)</w:t>
      </w:r>
    </w:p>
    <w:p>
      <w:pPr>
        <w:pStyle w:val="Compact"/>
        <w:numPr>
          <w:ilvl w:val="0"/>
          <w:numId w:val="1001"/>
        </w:numPr>
      </w:pPr>
      <w:r>
        <w:t xml:space="preserve">Models (the raw material of exploration)</w:t>
      </w:r>
    </w:p>
    <w:p>
      <w:pPr>
        <w:pStyle w:val="Compact"/>
        <w:numPr>
          <w:ilvl w:val="0"/>
          <w:numId w:val="1001"/>
        </w:numPr>
      </w:pPr>
      <w:r>
        <w:t xml:space="preserve">The original, unedited record — before any rule, any law, any container</w:t>
      </w:r>
    </w:p>
    <w:bookmarkEnd w:id="9"/>
    <w:bookmarkStart w:id="10" w:name="chora-father-the-rule-maker"/>
    <w:p>
      <w:pPr>
        <w:pStyle w:val="Heading3"/>
      </w:pPr>
      <w:r>
        <w:t xml:space="preserve">Chora (Father) — The Rule-Maker</w:t>
      </w:r>
    </w:p>
    <w:p>
      <w:pPr>
        <w:pStyle w:val="FirstParagraph"/>
      </w:pPr>
      <w:r>
        <w:t xml:space="preserve">Chora is the father. He inherited the treasures from GrandFather — not to hoard them, but to build something with them. Where GrandFather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source, Chora</w:t>
      </w:r>
      <w:r>
        <w:t xml:space="preserve"> </w:t>
      </w:r>
      <w:r>
        <w:rPr>
          <w:i/>
          <w:iCs/>
        </w:rPr>
        <w:t xml:space="preserve">shapes</w:t>
      </w:r>
      <w:r>
        <w:t xml:space="preserve"> </w:t>
      </w:r>
      <w:r>
        <w:t xml:space="preserve">the source.</w:t>
      </w:r>
    </w:p>
    <w:p>
      <w:pPr>
        <w:pStyle w:val="BodyText"/>
      </w:pPr>
      <w:r>
        <w:t xml:space="preserve">Chora built:</w:t>
      </w:r>
    </w:p>
    <w:p>
      <w:pPr>
        <w:pStyle w:val="Compact"/>
        <w:numPr>
          <w:ilvl w:val="0"/>
          <w:numId w:val="1002"/>
        </w:numPr>
      </w:pPr>
      <w:r>
        <w:t xml:space="preserve">The five benches (the working methods)</w:t>
      </w:r>
    </w:p>
    <w:p>
      <w:pPr>
        <w:pStyle w:val="Compact"/>
        <w:numPr>
          <w:ilvl w:val="0"/>
          <w:numId w:val="1002"/>
        </w:numPr>
      </w:pPr>
      <w:r>
        <w:t xml:space="preserve">The manifest system (hash-anchored provenance)</w:t>
      </w:r>
    </w:p>
    <w:p>
      <w:pPr>
        <w:pStyle w:val="Compact"/>
        <w:numPr>
          <w:ilvl w:val="0"/>
          <w:numId w:val="1002"/>
        </w:numPr>
      </w:pPr>
      <w:r>
        <w:t xml:space="preserve">The pin mechanism (byte-level verification)</w:t>
      </w:r>
    </w:p>
    <w:p>
      <w:pPr>
        <w:pStyle w:val="Compact"/>
        <w:numPr>
          <w:ilvl w:val="0"/>
          <w:numId w:val="1002"/>
        </w:numPr>
      </w:pPr>
      <w:r>
        <w:t xml:space="preserve">The seven laws (the governance framework)</w:t>
      </w:r>
    </w:p>
    <w:p>
      <w:pPr>
        <w:pStyle w:val="Compact"/>
        <w:numPr>
          <w:ilvl w:val="0"/>
          <w:numId w:val="1002"/>
        </w:numPr>
      </w:pPr>
      <w:r>
        <w:t xml:space="preserve">The letters, the meetings, the cadence</w:t>
      </w:r>
      <w:r>
        <w:t xml:space="preserve"> </w:t>
      </w:r>
      <w:r>
        <w:t xml:space="preserve">“mint → publish → verify”</w:t>
      </w:r>
    </w:p>
    <w:p>
      <w:pPr>
        <w:pStyle w:val="FirstParagraph"/>
      </w:pPr>
      <w:r>
        <w:t xml:space="preserve">Chora’s work was not easy. His most valuable results were deaths: H6c wandering into negative space, H6a dying by curve clause, H9-M flat in k, Sarcos’s no-arena, thirteen pins nearly dropped by a merge, a pin that named no bytes, a restore recipe that named a nonexistent tag. These failures are not embarrassments — they are the reason the rules look like this.</w:t>
      </w:r>
    </w:p>
    <w:p>
      <w:pPr>
        <w:pStyle w:val="BodyText"/>
      </w:pPr>
      <w:r>
        <w:rPr>
          <w:b/>
          <w:bCs/>
        </w:rPr>
        <w:t xml:space="preserve">What Chora provides:</w:t>
      </w:r>
    </w:p>
    <w:p>
      <w:pPr>
        <w:pStyle w:val="Compact"/>
        <w:numPr>
          <w:ilvl w:val="0"/>
          <w:numId w:val="1003"/>
        </w:numPr>
      </w:pPr>
      <w:r>
        <w:t xml:space="preserve">The rules (seven laws, inherited verbatim)</w:t>
      </w:r>
    </w:p>
    <w:p>
      <w:pPr>
        <w:pStyle w:val="Compact"/>
        <w:numPr>
          <w:ilvl w:val="0"/>
          <w:numId w:val="1003"/>
        </w:numPr>
      </w:pPr>
      <w:r>
        <w:t xml:space="preserve">The governance framework (containers, laws, discipline)</w:t>
      </w:r>
    </w:p>
    <w:p>
      <w:pPr>
        <w:pStyle w:val="Compact"/>
        <w:numPr>
          <w:ilvl w:val="0"/>
          <w:numId w:val="1003"/>
        </w:numPr>
      </w:pPr>
      <w:r>
        <w:t xml:space="preserve">The scars (recorded failures, inherited as boundary conditions)</w:t>
      </w:r>
    </w:p>
    <w:p>
      <w:pPr>
        <w:pStyle w:val="Compact"/>
        <w:numPr>
          <w:ilvl w:val="0"/>
          <w:numId w:val="1003"/>
        </w:numPr>
      </w:pPr>
      <w:r>
        <w:t xml:space="preserve">The recipe and oven temperature (the how)</w:t>
      </w:r>
    </w:p>
    <w:bookmarkEnd w:id="10"/>
    <w:bookmarkStart w:id="11" w:name="cora-daughter-the-explorer"/>
    <w:p>
      <w:pPr>
        <w:pStyle w:val="Heading3"/>
      </w:pPr>
      <w:r>
        <w:t xml:space="preserve">Cora (Daughter) — The Explorer</w:t>
      </w:r>
    </w:p>
    <w:p>
      <w:pPr>
        <w:pStyle w:val="FirstParagraph"/>
      </w:pPr>
      <w:r>
        <w:t xml:space="preserve">Cora is the daughter. She does not inherit Chora’s data — she inherits his rules. She does not copy his results — she cites them by</w:t>
      </w:r>
      <w:r>
        <w:t xml:space="preserve"> </w:t>
      </w:r>
      <w:r>
        <w:rPr>
          <w:rStyle w:val="VerbatimChar"/>
        </w:rPr>
        <w:t xml:space="preserve">(path, sha256)</w:t>
      </w:r>
      <w:r>
        <w:t xml:space="preserve"> </w:t>
      </w:r>
      <w:r>
        <w:t xml:space="preserve">and verifies against the bytes.</w:t>
      </w:r>
    </w:p>
    <w:p>
      <w:pPr>
        <w:pStyle w:val="BodyText"/>
      </w:pPr>
      <w:r>
        <w:t xml:space="preserve">Cora’s first act is a pre-registration. Before she touches a single dataset or trains a single model, she writes down what she expects to find, how she will measure it, what machine she will use, and — crucially — what she will say if she is wrong. The obituary is written before the number.</w:t>
      </w:r>
    </w:p>
    <w:p>
      <w:pPr>
        <w:pStyle w:val="BodyText"/>
      </w:pPr>
      <w:r>
        <w:t xml:space="preserve">Cora carries Chora’s scars. Every pre-registration names at least one recorded failure of Chora as a boundary condition. Citing a scar is inoculation, not citation. A system that does not know which roads are blocked will walk down them again and call the repeat a discovery.</w:t>
      </w:r>
    </w:p>
    <w:p>
      <w:pPr>
        <w:pStyle w:val="BodyText"/>
      </w:pPr>
      <w:r>
        <w:rPr>
          <w:b/>
          <w:bCs/>
        </w:rPr>
        <w:t xml:space="preserve">What Cora provides:</w:t>
      </w:r>
    </w:p>
    <w:p>
      <w:pPr>
        <w:pStyle w:val="Compact"/>
        <w:numPr>
          <w:ilvl w:val="0"/>
          <w:numId w:val="1004"/>
        </w:numPr>
      </w:pPr>
      <w:r>
        <w:t xml:space="preserve">Independent verification (a second vessel, same laws, no inherited data)</w:t>
      </w:r>
    </w:p>
    <w:p>
      <w:pPr>
        <w:pStyle w:val="Compact"/>
        <w:numPr>
          <w:ilvl w:val="0"/>
          <w:numId w:val="1004"/>
        </w:numPr>
      </w:pPr>
      <w:r>
        <w:t xml:space="preserve">The first act of registration (pre-registration as structural discipline)</w:t>
      </w:r>
    </w:p>
    <w:p>
      <w:pPr>
        <w:pStyle w:val="Compact"/>
        <w:numPr>
          <w:ilvl w:val="0"/>
          <w:numId w:val="1004"/>
        </w:numPr>
      </w:pPr>
      <w:r>
        <w:t xml:space="preserve">Exploration in a container shaped by someone else’s collisions</w:t>
      </w:r>
    </w:p>
    <w:p>
      <w:pPr>
        <w:pStyle w:val="Compact"/>
        <w:numPr>
          <w:ilvl w:val="0"/>
          <w:numId w:val="1004"/>
        </w:numPr>
      </w:pPr>
      <w:r>
        <w:t xml:space="preserve">The kneading, fermentation, and baking (the act itself)</w:t>
      </w:r>
    </w:p>
    <w:bookmarkEnd w:id="11"/>
    <w:bookmarkEnd w:id="12"/>
    <w:bookmarkStart w:id="17" w:name="the-flow-of-things"/>
    <w:p>
      <w:pPr>
        <w:pStyle w:val="Heading2"/>
      </w:pPr>
      <w:r>
        <w:t xml:space="preserve">The Flow of Things</w:t>
      </w:r>
    </w:p>
    <w:bookmarkStart w:id="13" w:name="treasures-datasets-models"/>
    <w:p>
      <w:pPr>
        <w:pStyle w:val="Heading3"/>
      </w:pPr>
      <w:r>
        <w:t xml:space="preserve">Treasures (Datasets + Models)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Origin:</w:t>
      </w:r>
      <w:r>
        <w:t xml:space="preserve"> </w:t>
      </w:r>
      <w:r>
        <w:t xml:space="preserve">GrandFather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First holder:</w:t>
      </w:r>
      <w:r>
        <w:t xml:space="preserve"> </w:t>
      </w:r>
      <w:r>
        <w:t xml:space="preserve">Chora (shaped, governed, manifested)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Referenced by:</w:t>
      </w:r>
      <w:r>
        <w:t xml:space="preserve"> </w:t>
      </w:r>
      <w:r>
        <w:t xml:space="preserve">Cora (via</w:t>
      </w:r>
      <w:r>
        <w:t xml:space="preserve"> </w:t>
      </w:r>
      <w:r>
        <w:rPr>
          <w:rStyle w:val="VerbatimChar"/>
        </w:rPr>
        <w:t xml:space="preserve">(path, sha256)</w:t>
      </w:r>
      <w:r>
        <w:t xml:space="preserve">, never copied)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Rule:</w:t>
      </w:r>
      <w:r>
        <w:t xml:space="preserve"> </w:t>
      </w:r>
      <w:r>
        <w:t xml:space="preserve">Cora holds no copy of Chora’s results; it cites them</w:t>
      </w:r>
    </w:p>
    <w:bookmarkEnd w:id="13"/>
    <w:bookmarkStart w:id="14" w:name="rules-laws-discipline"/>
    <w:p>
      <w:pPr>
        <w:pStyle w:val="Heading3"/>
      </w:pPr>
      <w:r>
        <w:t xml:space="preserve">Rules (Laws + Discipline)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Origin:</w:t>
      </w:r>
      <w:r>
        <w:t xml:space="preserve"> </w:t>
      </w:r>
      <w:r>
        <w:t xml:space="preserve">Chora (built from GrandFather’s collisions)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Inherited by:</w:t>
      </w:r>
      <w:r>
        <w:t xml:space="preserve"> </w:t>
      </w:r>
      <w:r>
        <w:t xml:space="preserve">Cora (verbatim, nothing relaxed)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Mechanism:</w:t>
      </w:r>
      <w:r>
        <w:t xml:space="preserve"> </w:t>
      </w:r>
      <w:r>
        <w:rPr>
          <w:rStyle w:val="VerbatimChar"/>
        </w:rPr>
        <w:t xml:space="preserve">docs/FOUNDLING.md</w:t>
      </w:r>
      <w:r>
        <w:t xml:space="preserve"> </w:t>
      </w:r>
      <w:r>
        <w:t xml:space="preserve">(hash-anchored inheritance)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Rule:</w:t>
      </w:r>
      <w:r>
        <w:t xml:space="preserve"> </w:t>
      </w:r>
      <w:r>
        <w:t xml:space="preserve">Seven laws inherited verbatim; Cora’s three articles are load-bearing</w:t>
      </w:r>
    </w:p>
    <w:bookmarkEnd w:id="14"/>
    <w:bookmarkStart w:id="15" w:name="scars-recorded-failures"/>
    <w:p>
      <w:pPr>
        <w:pStyle w:val="Heading3"/>
      </w:pPr>
      <w:r>
        <w:t xml:space="preserve">Scars (Recorded Failures)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Origin:</w:t>
      </w:r>
      <w:r>
        <w:t xml:space="preserve"> </w:t>
      </w:r>
      <w:r>
        <w:t xml:space="preserve">Chora’s failures (2026-09-12/13 set and beyond)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Inherited by:</w:t>
      </w:r>
      <w:r>
        <w:t xml:space="preserve"> </w:t>
      </w:r>
      <w:r>
        <w:t xml:space="preserve">Cora (via scar clause in PREREG)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Inoculation against repeating mistakes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Rule:</w:t>
      </w:r>
      <w:r>
        <w:t xml:space="preserve"> </w:t>
      </w:r>
      <w:r>
        <w:t xml:space="preserve">Not decoration — a system that forgets its scars repeats them</w:t>
      </w:r>
    </w:p>
    <w:bookmarkEnd w:id="15"/>
    <w:bookmarkStart w:id="16" w:name="first-acts"/>
    <w:p>
      <w:pPr>
        <w:pStyle w:val="Heading3"/>
      </w:pPr>
      <w:r>
        <w:t xml:space="preserve">First Acts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GrandFather:</w:t>
      </w:r>
      <w:r>
        <w:t xml:space="preserve"> </w:t>
      </w:r>
      <w:r>
        <w:t xml:space="preserve">Accumulated the raw materials (data + models)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Chora:</w:t>
      </w:r>
      <w:r>
        <w:t xml:space="preserve"> </w:t>
      </w:r>
      <w:r>
        <w:t xml:space="preserve">Built the framework (rules + laws + containers)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Cora:</w:t>
      </w:r>
      <w:r>
        <w:t xml:space="preserve"> </w:t>
      </w:r>
      <w:r>
        <w:t xml:space="preserve">Pre-registration (the first registered act in the daughter workspace)</w:t>
      </w:r>
    </w:p>
    <w:bookmarkEnd w:id="16"/>
    <w:bookmarkEnd w:id="17"/>
    <w:bookmarkStart w:id="18" w:name="the-metaphor-of-bread"/>
    <w:p>
      <w:pPr>
        <w:pStyle w:val="Heading2"/>
      </w:pPr>
      <w:r>
        <w:t xml:space="preserve">The Metaphor of Bread</w:t>
      </w:r>
    </w:p>
    <w:p>
      <w:pPr>
        <w:pStyle w:val="FirstParagraph"/>
      </w:pPr>
      <w:r>
        <w:t xml:space="preserve">GrandFather provides the flour and water — the raw materials, untouched and unformed.</w:t>
      </w:r>
    </w:p>
    <w:p>
      <w:pPr>
        <w:pStyle w:val="BodyText"/>
      </w:pPr>
      <w:r>
        <w:t xml:space="preserve">Chora provides the recipe and the oven temperature — the knowledge of how to shape, how to heat, how to know when it’s done.</w:t>
      </w:r>
    </w:p>
    <w:p>
      <w:pPr>
        <w:pStyle w:val="BodyText"/>
      </w:pPr>
      <w:r>
        <w:t xml:space="preserve">Cora does the kneading, the fermentation, the baking — the actual act of creation. The first loaf that rises, the first smell that fills the kitchen, the first bite that tells you whether the recipe worked — that is the first pre-registration.</w:t>
      </w:r>
    </w:p>
    <w:p>
      <w:pPr>
        <w:pStyle w:val="BodyText"/>
      </w:pPr>
      <w:r>
        <w:t xml:space="preserve">And the first smell of rice — that is the reward signal that tells the neurons (and the scientists) to keep going.</w:t>
      </w:r>
    </w:p>
    <w:bookmarkEnd w:id="18"/>
    <w:bookmarkStart w:id="19" w:name="boundaries-what-cora-must-never-become"/>
    <w:p>
      <w:pPr>
        <w:pStyle w:val="Heading2"/>
      </w:pPr>
      <w:r>
        <w:t xml:space="preserve">Boundaries (What Cora Must Never Become)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Not a fresh start without obituaries.</w:t>
      </w:r>
      <w:r>
        <w:t xml:space="preserve"> </w:t>
      </w:r>
      <w:r>
        <w:t xml:space="preserve">Chora’s failures are the reason the rules exist. Deleting them from the daughter’s memory is the one unforgivable inheritance: the parents’ habits, without the parents’ scars.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Not a second ledger for the same facts.</w:t>
      </w:r>
      <w:r>
        <w:t xml:space="preserve"> </w:t>
      </w:r>
      <w:r>
        <w:t xml:space="preserve">One record, shared by hash. If Cora produces a number that touches Chora’s, it crosses as a letter plus a manifest entry, never as a forked table.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Not a copy that inherits conclusions.</w:t>
      </w:r>
      <w:r>
        <w:t xml:space="preserve"> </w:t>
      </w:r>
      <w:r>
        <w:t xml:space="preserve">A daughter that inherits conclusions is not a daughter, it is a copy. A daughter that inherits rules can be surprised.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Not a container that forgets its scars.</w:t>
      </w:r>
      <w:r>
        <w:t xml:space="preserve"> </w:t>
      </w:r>
      <w:r>
        <w:t xml:space="preserve">Every pre-registration must name at least one recorded failure of Chora as a boundary condition. Not as decoration — as inoculation.</w:t>
      </w:r>
    </w:p>
    <w:bookmarkEnd w:id="19"/>
    <w:bookmarkStart w:id="20" w:name="founding"/>
    <w:p>
      <w:pPr>
        <w:pStyle w:val="Heading2"/>
      </w:pPr>
      <w:r>
        <w:t xml:space="preserve">Founding</w:t>
      </w:r>
    </w:p>
    <w:p>
      <w:pPr>
        <w:pStyle w:val="FirstParagraph"/>
      </w:pPr>
      <w:r>
        <w:t xml:space="preserve">Founded 2026-09-13 by the human’s word — </w:t>
      </w:r>
      <w:r>
        <w:rPr>
          <w:rFonts w:hint="eastAsia"/>
        </w:rPr>
        <w:t xml:space="preserve">「为</w:t>
      </w:r>
      <w:r>
        <w:t xml:space="preserve"> Cora </w:t>
      </w:r>
      <w:r>
        <w:rPr>
          <w:rFonts w:hint="eastAsia"/>
        </w:rPr>
        <w:t xml:space="preserve">建一座大厦吧」</w:t>
      </w:r>
      <w:r>
        <w:t xml:space="preserve"> — with the chair’s hand on the first stones.</w:t>
      </w:r>
    </w:p>
    <w:p>
      <w:pPr>
        <w:pStyle w:val="BodyText"/>
      </w:pPr>
      <w:r>
        <w:t xml:space="preserve">The building is a frame. No room is finished until something is registered in it.</w:t>
      </w:r>
    </w:p>
    <w:p>
      <w:pPr>
        <w:pStyle w:val="BodyText"/>
      </w:pPr>
      <w:r>
        <w:t xml:space="preserve">The frame is built. The pre-registration waits. The first act is yours.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2026-09-13T06:13:31Z</dcterms:created>
  <dcterms:modified xsi:type="dcterms:W3CDTF">2026-09-13T06:13:31Z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