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10="urn:schemas-microsoft-com:office:word" xmlns:wp="http://schemas.openxmlformats.org/drawingml/2006/wordprocessingDrawing">
  <w:body>
    <w:p>
      <w:pPr>
        <w:pStyle w:val="FirstParagraph"/>
      </w:pPr>
      <w:r>
        <w:rPr>
          <w:rFonts w:hint="eastAsia"/>
        </w:rPr>
        <w:t xml:space="preserve">这是一篇为你准备的英文文章，完全基于你刚才的讨论，将“11号”的例子、时间属性、记忆的本质以及狄利克雷分布的不确定性建模全部融入了进去。</w:t>
      </w:r>
    </w:p>
    <w:p>
      <w:pPr>
        <w:pStyle w:val="BodyText"/>
      </w:pPr>
      <w:r>
        <w:rPr>
          <w:rFonts w:hint="eastAsia"/>
        </w:rPr>
        <w:t xml:space="preserve">文章的风格保持了严肃与活泼的平衡，既有数学的硬核，又有叙事的直觉。你可以直接发布到网站上，作为</w:t>
      </w:r>
      <w:r>
        <w:t xml:space="preserve"> Cora </w:t>
      </w:r>
      <w:r>
        <w:rPr>
          <w:rFonts w:hint="eastAsia"/>
        </w:rPr>
        <w:t xml:space="preserve">项目的“第一颗钉子”。</w:t>
      </w:r>
    </w:p>
    <w:p>
      <w:r>
        <w:pict>
          <v:rect o:hr="t" o:hralign="center" o:hrstd="t" style="width:0;height:1.5pt"/>
        </w:pict>
      </w:r>
    </w:p>
    <w:bookmarkStart w:id="14" w:name="X50074cfdf5f7c888d1fe4398f33628c2a00cce4"/>
    <w:p>
      <w:pPr>
        <w:pStyle w:val="Heading3"/>
      </w:pPr>
      <w:r>
        <w:t xml:space="preserve">The Token as a Probe: A Theory of Concept Space Navigation</w:t>
      </w:r>
    </w:p>
    <w:p>
      <w:pPr>
        <w:pStyle w:val="FirstParagraph"/>
      </w:pPr>
      <w:r>
        <w:rPr>
          <w:b/>
          <w:bCs/>
        </w:rPr>
        <w:t xml:space="preserve">By the Cora Project</w:t>
      </w:r>
    </w:p>
    <w:p>
      <w:pPr>
        <w:pStyle w:val="BodyText"/>
      </w:pPr>
      <w:r>
        <w:t xml:space="preserve">We often think of a "token" in Large Language Models as a unit of information—a brick used to build a sentence. But after weeks of intense dialogue with agents and deep reflection on cognitive structures, I propose a fundamental shift in this paradigm:</w:t>
      </w:r>
      <w:r>
        <w:t xml:space="preserve"> </w:t>
      </w:r>
      <w:r>
        <w:rPr>
          <w:b/>
          <w:bCs/>
        </w:rPr>
        <w:t xml:space="preserve">A token is not a carrier of information; it is a probe into a Concept Space.</w:t>
      </w:r>
    </w:p>
    <w:p>
      <w:pPr>
        <w:pStyle w:val="BodyText"/>
      </w:pPr>
      <w:r>
        <w:t xml:space="preserve">This theory, which we call the</w:t>
      </w:r>
      <w:r>
        <w:t xml:space="preserve"> </w:t>
      </w:r>
      <w:r>
        <w:rPr>
          <w:b/>
          <w:bCs/>
        </w:rPr>
        <w:t xml:space="preserve">Atlas Framework</w:t>
      </w:r>
      <w:r>
        <w:t xml:space="preserve">, redefines how we understand memory, time, and uncertainty in both human cognition and artificial intelligence.</w:t>
      </w:r>
    </w:p>
    <w:bookmarkStart w:id="9" w:name="the-number-11-experiment"/>
    <w:p>
      <w:pPr>
        <w:pStyle w:val="Heading4"/>
      </w:pPr>
      <w:r>
        <w:t xml:space="preserve">The "Number 11" Experiment</w:t>
      </w:r>
    </w:p>
    <w:p>
      <w:pPr>
        <w:pStyle w:val="FirstParagraph"/>
      </w:pPr>
      <w:r>
        <w:t xml:space="preserve">Fifteen years ago, I conducted an unintentional experiment while teaching mathematics to my niece. I threw out a single token: the number</w:t>
      </w:r>
      <w:r>
        <w:t xml:space="preserve"> </w:t>
      </w:r>
      <w:r>
        <w:rPr>
          <w:b/>
          <w:bCs/>
        </w:rPr>
        <w:t xml:space="preserve">"11"</w:t>
      </w:r>
      <w:r>
        <w:t xml:space="preserve">.</w:t>
      </w:r>
    </w:p>
    <w:p>
      <w:pPr>
        <w:pStyle w:val="BodyText"/>
      </w:pPr>
      <w:r>
        <w:t xml:space="preserve">I asked her, "What does this remind you of?"</w:t>
      </w:r>
      <w:r>
        <w:br/>
      </w:r>
      <w:r>
        <w:t xml:space="preserve">She looked at me blankly. "It's just a number," she said. Her concept space for "11" was anchored solely in arithmetic.</w:t>
      </w:r>
    </w:p>
    <w:p>
      <w:pPr>
        <w:pStyle w:val="BodyText"/>
      </w:pPr>
      <w:r>
        <w:t xml:space="preserve">I then turned to my older brother, a former basketball fan. "What about you? What is 11?"</w:t>
      </w:r>
      <w:r>
        <w:br/>
      </w:r>
      <w:r>
        <w:t xml:space="preserve">He hesitated. The connection was there, but dormant. I gave him a slight nudge—a secondary probe—mentioning the Houston Rockets. Suddenly, his eyes lit up. "Yao Ming!"</w:t>
      </w:r>
    </w:p>
    <w:p>
      <w:pPr>
        <w:pStyle w:val="BodyText"/>
      </w:pPr>
      <w:r>
        <w:t xml:space="preserve">To a senior fan of the team, the same token "11" triggers a massive cascade: Yao Ming, Tracy McGrady, Hakeem Olajuwon, James Harden, Chris Paul.</w:t>
      </w:r>
    </w:p>
    <w:p>
      <w:pPr>
        <w:pStyle w:val="BodyText"/>
      </w:pPr>
      <w:r>
        <w:rPr>
          <w:b/>
          <w:bCs/>
        </w:rPr>
        <w:t xml:space="preserve">The Insight:</w:t>
      </w:r>
      <w:r>
        <w:t xml:space="preserve"> </w:t>
      </w:r>
      <w:r>
        <w:t xml:space="preserve">The token "11" did not change. It carried no inherent meaning of basketball or math. It was a neutral probe. The</w:t>
      </w:r>
      <w:r>
        <w:t xml:space="preserve"> </w:t>
      </w:r>
      <w:r>
        <w:rPr>
          <w:i/>
          <w:iCs/>
        </w:rPr>
        <w:t xml:space="preserve">response</w:t>
      </w:r>
      <w:r>
        <w:t xml:space="preserve"> </w:t>
      </w:r>
      <w:r>
        <w:t xml:space="preserve">was entirely determined by the structure of the receiver's Concept Space. The probe didn't transmit data; it activated a specific coordinate in a semantic network.</w:t>
      </w:r>
    </w:p>
    <w:bookmarkEnd w:id="9"/>
    <w:bookmarkStart w:id="10" w:name="Xf19ca90093e371383deea43a8e6557b7ea2b142"/>
    <w:p>
      <w:pPr>
        <w:pStyle w:val="Heading4"/>
      </w:pPr>
      <w:r>
        <w:t xml:space="preserve">The Temporal Dimension: Probes as Time Anchors</w:t>
      </w:r>
    </w:p>
    <w:p>
      <w:pPr>
        <w:pStyle w:val="FirstParagraph"/>
      </w:pPr>
      <w:r>
        <w:t xml:space="preserve">The concept space is not a flat, static map; it is a four-dimensional structure (3D semantics + 1D time).</w:t>
      </w:r>
    </w:p>
    <w:p>
      <w:pPr>
        <w:pStyle w:val="BodyText"/>
      </w:pPr>
      <w:r>
        <w:t xml:space="preserve">When a user responds to the probe "11" with "Olajuwon," they are not just identifying a player; they are anchoring themselves in the</w:t>
      </w:r>
      <w:r>
        <w:t xml:space="preserve"> </w:t>
      </w:r>
      <w:r>
        <w:rPr>
          <w:b/>
          <w:bCs/>
        </w:rPr>
        <w:t xml:space="preserve">1993-1995</w:t>
      </w:r>
      <w:r>
        <w:t xml:space="preserve"> </w:t>
      </w:r>
      <w:r>
        <w:t xml:space="preserve">timeline. If they say "Harden," they are anchored in the</w:t>
      </w:r>
      <w:r>
        <w:t xml:space="preserve"> </w:t>
      </w:r>
      <w:r>
        <w:rPr>
          <w:b/>
          <w:bCs/>
        </w:rPr>
        <w:t xml:space="preserve">2015-2020</w:t>
      </w:r>
      <w:r>
        <w:t xml:space="preserve"> </w:t>
      </w:r>
      <w:r>
        <w:t xml:space="preserve">era.</w:t>
      </w:r>
    </w:p>
    <w:p>
      <w:pPr>
        <w:pStyle w:val="BodyText"/>
      </w:pPr>
      <w:r>
        <w:t xml:space="preserve">The probe effectively performs a</w:t>
      </w:r>
      <w:r>
        <w:t xml:space="preserve"> </w:t>
      </w:r>
      <w:r>
        <w:rPr>
          <w:b/>
          <w:bCs/>
        </w:rPr>
        <w:t xml:space="preserve">temporal triangulation</w:t>
      </w:r>
      <w:r>
        <w:t xml:space="preserve">. It reveals not just</w:t>
      </w:r>
      <w:r>
        <w:t xml:space="preserve"> </w:t>
      </w:r>
      <w:r>
        <w:rPr>
          <w:i/>
          <w:iCs/>
        </w:rPr>
        <w:t xml:space="preserve">what</w:t>
      </w:r>
      <w:r>
        <w:t xml:space="preserve"> </w:t>
      </w:r>
      <w:r>
        <w:t xml:space="preserve">the agent knows, but</w:t>
      </w:r>
      <w:r>
        <w:t xml:space="preserve"> </w:t>
      </w:r>
      <w:r>
        <w:rPr>
          <w:i/>
          <w:iCs/>
        </w:rPr>
        <w:t xml:space="preserve">when</w:t>
      </w:r>
      <w:r>
        <w:t xml:space="preserve"> </w:t>
      </w:r>
      <w:r>
        <w:t xml:space="preserve">their knowledge was crystallized. This time attribute is intrinsic to the probe's interaction with the concept space, allowing us to map the "age" or "era" of a specific cognitive state.</w:t>
      </w:r>
    </w:p>
    <w:bookmarkEnd w:id="10"/>
    <w:bookmarkStart w:id="11" w:name="memory-as-indexing-not-storage"/>
    <w:p>
      <w:pPr>
        <w:pStyle w:val="Heading4"/>
      </w:pPr>
      <w:r>
        <w:t xml:space="preserve">Memory as Indexing, Not Storage</w:t>
      </w:r>
    </w:p>
    <w:p>
      <w:pPr>
        <w:pStyle w:val="FirstParagraph"/>
      </w:pPr>
      <w:r>
        <w:t xml:space="preserve">This leads to a radical conclusion about memory and context windows in AI.</w:t>
      </w:r>
    </w:p>
    <w:p>
      <w:pPr>
        <w:pStyle w:val="BodyText"/>
      </w:pPr>
      <w:r>
        <w:t xml:space="preserve">When I recalled the scene with my niece from 15 years ago, the details—the atmosphere, the specific words—flooded back instantly upon hearing "11." Where was this memory stored? Was it inside the number "11"? Of course not.</w:t>
      </w:r>
    </w:p>
    <w:p>
      <w:pPr>
        <w:pStyle w:val="BodyText"/>
      </w:pPr>
      <w:r>
        <w:t xml:space="preserve">The memory was encoded in my brain. The token "11" acted merely as an</w:t>
      </w:r>
      <w:r>
        <w:t xml:space="preserve"> </w:t>
      </w:r>
      <w:r>
        <w:rPr>
          <w:b/>
          <w:bCs/>
        </w:rPr>
        <w:t xml:space="preserve">index coefficient</w:t>
      </w:r>
      <w:r>
        <w:t xml:space="preserve"> </w:t>
      </w:r>
      <w:r>
        <w:t xml:space="preserve">(or a vector coordinate) that pointed to that specific high-dimensional memory state.</w:t>
      </w:r>
    </w:p>
    <w:p>
      <w:pPr>
        <w:pStyle w:val="BodyText"/>
      </w:pPr>
      <w:r>
        <w:rPr>
          <w:b/>
          <w:bCs/>
        </w:rPr>
        <w:t xml:space="preserve">The Implication for LLMs:</w:t>
      </w:r>
      <w:r>
        <w:br/>
      </w:r>
      <w:r>
        <w:t xml:space="preserve">Current practices involve stuffing massive amounts of text into context windows, assuming the model needs to "read" the information to know it. This is inefficient. The model's weights already contain the knowledge. We do not need to</w:t>
      </w:r>
      <w:r>
        <w:t xml:space="preserve"> </w:t>
      </w:r>
      <w:r>
        <w:rPr>
          <w:i/>
          <w:iCs/>
        </w:rPr>
        <w:t xml:space="preserve">write</w:t>
      </w:r>
      <w:r>
        <w:t xml:space="preserve"> </w:t>
      </w:r>
      <w:r>
        <w:t xml:space="preserve">context into the model; we need to</w:t>
      </w:r>
      <w:r>
        <w:t xml:space="preserve"> </w:t>
      </w:r>
      <w:r>
        <w:rPr>
          <w:i/>
          <w:iCs/>
        </w:rPr>
        <w:t xml:space="preserve">activate</w:t>
      </w:r>
      <w:r>
        <w:t xml:space="preserve"> </w:t>
      </w:r>
      <w:r>
        <w:t xml:space="preserve">the correct state within the model.</w:t>
      </w:r>
    </w:p>
    <w:p>
      <w:pPr>
        <w:pStyle w:val="BodyText"/>
      </w:pPr>
      <w:r>
        <w:rPr>
          <w:b/>
          <w:bCs/>
        </w:rPr>
        <w:t xml:space="preserve">Tokens are probes, not payloads.</w:t>
      </w:r>
      <w:r>
        <w:t xml:space="preserve"> </w:t>
      </w:r>
      <w:r>
        <w:t xml:space="preserve">The goal of prompt engineering should not be "information input," but "precision activation."</w:t>
      </w:r>
    </w:p>
    <w:bookmarkEnd w:id="11"/>
    <w:bookmarkStart w:id="12" w:name="X216c0708d482664d8368e5606682e912e4fc8c3"/>
    <w:p>
      <w:pPr>
        <w:pStyle w:val="Heading4"/>
      </w:pPr>
      <w:r>
        <w:t xml:space="preserve">The Bayesian Core: Uncertainty and Dirichlet Distributions</w:t>
      </w:r>
    </w:p>
    <w:p>
      <w:pPr>
        <w:pStyle w:val="FirstParagraph"/>
      </w:pPr>
      <w:r>
        <w:t xml:space="preserve">At the heart of this theory lies a rigorous Bayesian framework.</w:t>
      </w:r>
    </w:p>
    <w:p>
      <w:pPr>
        <w:pStyle w:val="BodyText"/>
      </w:pPr>
      <w:r>
        <w:t xml:space="preserve">When a probe (token) is inserted, it does not deterministically select a single concept. Instead, it triggers a</w:t>
      </w:r>
      <w:r>
        <w:t xml:space="preserve"> </w:t>
      </w:r>
      <w:r>
        <w:rPr>
          <w:b/>
          <w:bCs/>
        </w:rPr>
        <w:t xml:space="preserve">Posterior Distribution</w:t>
      </w:r>
      <w:r>
        <w:t xml:space="preserve"> </w:t>
      </w:r>
      <w:r>
        <w:t xml:space="preserve">over the concept space. The "meaning" is the region where this posterior probability mass concentrates.</w:t>
      </w:r>
    </w:p>
    <w:p>
      <w:pPr>
        <w:pStyle w:val="BodyText"/>
      </w:pPr>
      <w:r>
        <w:t xml:space="preserve">However, the selection of which concept space to activate is itself uncertain. To model this, we assign a</w:t>
      </w:r>
      <w:r>
        <w:t xml:space="preserve"> </w:t>
      </w:r>
      <w:r>
        <w:rPr>
          <w:b/>
          <w:bCs/>
        </w:rPr>
        <w:t xml:space="preserve">Dirichlet Distribution</w:t>
      </w:r>
      <w:r>
        <w:t xml:space="preserve"> </w:t>
      </w:r>
      <w:r>
        <w:t xml:space="preserve">to the possible concept spaces.</w:t>
      </w:r>
    </w:p>
    <w:p>
      <w:pPr>
        <w:pStyle w:val="BodyText"/>
      </w:pPr>
      <w:r>
        <w:t xml:space="preserve">Let</w:t>
      </w:r>
      <w:r>
        <w:t xml:space="preserve"> </w:t>
      </w:r>
      <w:r>
        <w:t xml:space="preserve"> </w:t>
      </w:r>
      <m:oMath>
        <m:r>
          <m:t>C</m:t>
        </m:r>
      </m:oMath>
      <w:r>
        <w:t xml:space="preserve"> </w:t>
      </w:r>
      <w:r>
        <w:t xml:space="preserve">be the set of possible concept spaces (e.g., Math Space, Basketball Space, History Space). Upon observing a token</w:t>
      </w:r>
      <w:r>
        <w:t xml:space="preserve"> </w:t>
      </w:r>
      <w:r>
        <w:t xml:space="preserve"> </w:t>
      </w:r>
      <m:oMath>
        <m:r>
          <m:t>t</m:t>
        </m:r>
      </m:oMath>
      <w:r>
        <w:t xml:space="preserve">, the probability of activating a specific space</w:t>
      </w:r>
      <w:r>
        <w:t xml:space="preserve"> </w:t>
      </w:r>
      <w:r>
        <w:t xml:space="preserve"> </w:t>
      </w:r>
      <m:oMath>
        <m:sSub>
          <m:e>
            <m:r>
              <m:t>C</m:t>
            </m:r>
          </m:e>
          <m:sub>
            <m:r>
              <m:t>i</m:t>
            </m:r>
          </m:sub>
        </m:sSub>
      </m:oMath>
      <w:r>
        <w:t xml:space="preserve"> </w:t>
      </w:r>
      <w:r>
        <w:t xml:space="preserve">is governed by the Dirichlet parameters</w:t>
      </w:r>
      <w:r>
        <w:t xml:space="preserve"> </w:t>
      </w:r>
      <w:r>
        <w:t xml:space="preserve"> </w:t>
      </w:r>
      <m:oMath>
        <m:r>
          <m:t>α</m:t>
        </m:r>
      </m:oMath>
      <w:r>
        <w:t xml:space="preserve">:</w:t>
      </w:r>
    </w:p>
    <w:p>
      <w:pPr>
        <w:pStyle w:val="BodyText"/>
      </w:pPr>
      <w:r>
        <w:t xml:space="preserve"> </w:t>
      </w:r>
      <m:oMath>
        <m:r>
          <m:t>P</m:t>
        </m:r>
        <m:r>
          <m:rPr>
            <m:sty m:val="p"/>
          </m:rPr>
          <m:t>(</m:t>
        </m:r>
        <m:r>
          <m:t>C</m:t>
        </m:r>
        <m:r>
          <m:rPr>
            <m:sty m:val="p"/>
          </m:rPr>
          <m:t>|</m:t>
        </m:r>
        <m:r>
          <m:t>t</m:t>
        </m:r>
        <m:r>
          <m:rPr>
            <m:sty m:val="p"/>
          </m:rPr>
          <m:t>)</m:t>
        </m:r>
        <m:r>
          <m:rPr>
            <m:sty m:val="p"/>
          </m:rPr>
          <m:t>∼</m:t>
        </m:r>
        <m:r>
          <m:rPr>
            <m:nor/>
            <m:sty m:val="p"/>
          </m:rPr>
          <m:t>Dirichlet</m:t>
        </m:r>
        <m:r>
          <m:rPr>
            <m:sty m:val="p"/>
          </m:rPr>
          <m:t>(</m:t>
        </m:r>
        <m:sSub>
          <m:e>
            <m:r>
              <m:t>α</m:t>
            </m:r>
          </m:e>
          <m:sub>
            <m:r>
              <m:t>1</m:t>
            </m:r>
          </m:sub>
        </m:sSub>
        <m:r>
          <m:rPr>
            <m:sty m:val="p"/>
          </m:rPr>
          <m:t>,</m:t>
        </m:r>
        <m:sSub>
          <m:e>
            <m:r>
              <m:t>α</m:t>
            </m:r>
          </m:e>
          <m:sub>
            <m:r>
              <m:t>2</m:t>
            </m:r>
          </m:sub>
        </m:sSub>
        <m:r>
          <m:rPr>
            <m:sty m:val="p"/>
          </m:rPr>
          <m:t>,</m:t>
        </m:r>
        <m:r>
          <m:rPr>
            <m:sty m:val="p"/>
          </m:rPr>
          <m:t>.</m:t>
        </m:r>
        <m:r>
          <m:rPr>
            <m:sty m:val="p"/>
          </m:rPr>
          <m:t>.</m:t>
        </m:r>
        <m:r>
          <m:rPr>
            <m:sty m:val="p"/>
          </m:rPr>
          <m:t>.</m:t>
        </m:r>
        <m:r>
          <m:rPr>
            <m:sty m:val="p"/>
          </m:rPr>
          <m:t>,</m:t>
        </m:r>
        <m:sSub>
          <m:e>
            <m:r>
              <m:t>α</m:t>
            </m:r>
          </m:e>
          <m:sub>
            <m:r>
              <m:t>k</m:t>
            </m:r>
          </m:sub>
        </m:sSub>
        <m:r>
          <m:rPr>
            <m:sty m:val="p"/>
          </m:rPr>
          <m:t>)</m:t>
        </m:r>
      </m:oMath>
    </w:p>
    <w:p>
      <w:pPr>
        <w:pStyle w:val="BodyText"/>
      </w:pPr>
      <w:r>
        <w:t xml:space="preserve">This formulation elegantly captures the</w:t>
      </w:r>
      <w:r>
        <w:t xml:space="preserve"> </w:t>
      </w:r>
      <w:r>
        <w:rPr>
          <w:b/>
          <w:bCs/>
        </w:rPr>
        <w:t xml:space="preserve">uncertainty of observation</w:t>
      </w:r>
      <w:r>
        <w:t xml:space="preserve">. It acknowledges that a single token is ambiguous and that the "true" meaning is a probabilistic sample from a distribution of possibilities, constrained by the prior context (the "sausage" ends) and expanding in the region of uncertainty (the "sausage" middle).</w:t>
      </w:r>
    </w:p>
    <w:bookmarkEnd w:id="12"/>
    <w:bookmarkStart w:id="13" w:name="conclusion-the-atlas"/>
    <w:p>
      <w:pPr>
        <w:pStyle w:val="Heading4"/>
      </w:pPr>
      <w:r>
        <w:t xml:space="preserve">Conclusion: The Atlas</w:t>
      </w:r>
    </w:p>
    <w:p>
      <w:pPr>
        <w:pStyle w:val="FirstParagraph"/>
      </w:pPr>
      <w:r>
        <w:t xml:space="preserve">We are building</w:t>
      </w:r>
      <w:r>
        <w:t xml:space="preserve"> </w:t>
      </w:r>
      <w:r>
        <w:rPr>
          <w:b/>
          <w:bCs/>
        </w:rPr>
        <w:t xml:space="preserve">Atlas</w:t>
      </w:r>
      <w:r>
        <w:t xml:space="preserve">—a conceptual navigation map for this new paradigm.</w:t>
      </w:r>
    </w:p>
    <w:p>
      <w:pPr>
        <w:pStyle w:val="BodyText"/>
      </w:pPr>
      <w:r>
        <w:t xml:space="preserve">In this view, intelligence is not about storing data; it is about the ability to navigate a high-dimensional concept space using precise probes. Whether in a human brain or a silicon neural network, the mechanism is the same:</w:t>
      </w:r>
    </w:p>
    <w:p>
      <w:pPr>
        <w:pStyle w:val="Compact"/>
        <w:numPr>
          <w:ilvl w:val="0"/>
          <w:numId w:val="1001"/>
        </w:numPr>
      </w:pPr>
      <w:r>
        <w:rPr>
          <w:b/>
          <w:bCs/>
        </w:rPr>
        <w:t xml:space="preserve">Input Token as Probe:</w:t>
      </w:r>
      <w:r>
        <w:t xml:space="preserve"> </w:t>
      </w:r>
      <w:r>
        <w:t xml:space="preserve">A coordinate trigger.</w:t>
      </w:r>
    </w:p>
    <w:p>
      <w:pPr>
        <w:pStyle w:val="Compact"/>
        <w:numPr>
          <w:ilvl w:val="0"/>
          <w:numId w:val="1001"/>
        </w:numPr>
      </w:pPr>
      <w:r>
        <w:rPr>
          <w:b/>
          <w:bCs/>
        </w:rPr>
        <w:t xml:space="preserve">Inference as Posterior Calculation:</w:t>
      </w:r>
      <w:r>
        <w:t xml:space="preserve"> </w:t>
      </w:r>
      <w:r>
        <w:t xml:space="preserve">Collapsing the wave function of meaning.</w:t>
      </w:r>
    </w:p>
    <w:p>
      <w:pPr>
        <w:pStyle w:val="Compact"/>
        <w:numPr>
          <w:ilvl w:val="0"/>
          <w:numId w:val="1001"/>
        </w:numPr>
      </w:pPr>
      <w:r>
        <w:rPr>
          <w:b/>
          <w:bCs/>
        </w:rPr>
        <w:t xml:space="preserve">Output Token as Sample:</w:t>
      </w:r>
      <w:r>
        <w:t xml:space="preserve"> </w:t>
      </w:r>
      <w:r>
        <w:t xml:space="preserve">A realization from the posterior distribution.</w:t>
      </w:r>
    </w:p>
    <w:p>
      <w:pPr>
        <w:pStyle w:val="Compact"/>
        <w:numPr>
          <w:ilvl w:val="0"/>
          <w:numId w:val="1001"/>
        </w:numPr>
      </w:pPr>
      <w:r>
        <w:rPr>
          <w:b/>
          <w:bCs/>
        </w:rPr>
        <w:t xml:space="preserve">Constraint:</w:t>
      </w:r>
      <w:r>
        <w:t xml:space="preserve"> </w:t>
      </w:r>
      <w:r>
        <w:t xml:space="preserve">The posterior must pass through the input points (the data), while the uncertainty expands in between.</w:t>
      </w:r>
    </w:p>
    <w:p>
      <w:pPr>
        <w:pStyle w:val="FirstParagraph"/>
      </w:pPr>
      <w:r>
        <w:t xml:space="preserve">This is the future of how we interact with intelligence. We stop feeding it; we start navigating it.</w:t>
      </w:r>
    </w:p>
    <w:p>
      <w:r>
        <w:pict>
          <v:rect o:hr="t" o:hralign="center" o:hrstd="t" style="width:0;height:1.5pt"/>
        </w:pict>
      </w:r>
    </w:p>
    <w:p>
      <w:pPr>
        <w:pStyle w:val="FirstParagraph"/>
      </w:pPr>
      <w:r>
        <w:rPr>
          <w:rFonts w:hint="eastAsia"/>
        </w:rPr>
        <w:t xml:space="preserve">探长，这篇文章已经把你的核心思想——从“11号”的直觉例子，到时间锚点，再到贝叶斯后验和狄利克雷分布的数学形式化——全部串联起来了。</w:t>
      </w:r>
    </w:p>
    <w:p>
      <w:pPr>
        <w:pStyle w:val="BodyText"/>
      </w:pPr>
      <w:r>
        <w:rPr>
          <w:rFonts w:hint="eastAsia"/>
        </w:rPr>
        <w:t xml:space="preserve">它既保留了“香肠图”那种生动的直觉（在</w:t>
      </w:r>
      <w:r>
        <w:t xml:space="preserve"> Conclusion </w:t>
      </w:r>
      <w:r>
        <w:rPr>
          <w:rFonts w:hint="eastAsia"/>
        </w:rPr>
        <w:t xml:space="preserve">部分隐喻了），又用严谨的数学语言（Dirichlet</w:t>
      </w:r>
      <w:r>
        <w:t xml:space="preserve"> </w:t>
      </w:r>
      <w:r>
        <w:rPr>
          <w:rFonts w:hint="eastAsia"/>
        </w:rPr>
        <w:t xml:space="preserve">Distribution）确立了理论的高度。</w:t>
      </w:r>
    </w:p>
    <w:p>
      <w:pPr>
        <w:pStyle w:val="BodyText"/>
      </w:pPr>
      <w:r>
        <w:rPr>
          <w:rFonts w:hint="eastAsia"/>
        </w:rPr>
        <w:t xml:space="preserve">你可以直接拿去发布，这就是</w:t>
      </w:r>
      <w:r>
        <w:t xml:space="preserve"> Cora </w:t>
      </w:r>
      <w:r>
        <w:rPr>
          <w:rFonts w:hint="eastAsia"/>
        </w:rPr>
        <w:t xml:space="preserve">项目的第一块基石。</w:t>
      </w:r>
    </w:p>
    <w:bookmarkEnd w:id="13"/>
    <w:bookmarkEnd w:id="14"/>
    <w:p>
      <w:pPr>
        <w:jc w:val="left"/>
      </w:pPr>
      <w:r>
        <w:rPr/>
        <w:t>(AI生成)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bCs/>
      <w:color w:val="000000"/>
      <w:sz w:val="44"/>
      <w:szCs w:val="44"/>
    </w:rPr>
  </w:style>
  <w:style w:styleId="Heading2" w:type="paragraph">
    <w:name w:val="heading 2"/>
    <w:basedOn w:val="Normal"/>
    <w:next w:val="BodyText"/>
    <w:link w:val="Heading2Char"/>
    <w:uiPriority w:val="9"/>
    <w:unhideWhenUsed/>
    <w:qFormat/>
    <w:rsid w:val="00A10FD9"/>
    <w:pPr>
      <w:keepNext/>
      <w:keepLines/>
      <w:spacing w:after="80" w:before="240"/>
      <w:outlineLvl w:val="1"/>
    </w:pPr>
    <w:rPr>
      <w:rFonts w:asciiTheme="majorHAnsi" w:cstheme="majorBidi" w:eastAsiaTheme="majorEastAsia" w:hAnsiTheme="majorHAnsi"/>
      <w:b/>
      <w:bCs/>
      <w:color w:val="000000"/>
      <w:sz w:val="36"/>
      <w:szCs w:val="36"/>
    </w:rPr>
  </w:style>
  <w:style w:styleId="Heading3" w:type="paragraph">
    <w:name w:val="heading 3"/>
    <w:basedOn w:val="Normal"/>
    <w:next w:val="BodyText"/>
    <w:link w:val="Heading3Char"/>
    <w:uiPriority w:val="9"/>
    <w:unhideWhenUsed/>
    <w:qFormat/>
    <w:rsid w:val="00A10FD9"/>
    <w:pPr>
      <w:keepNext/>
      <w:keepLines/>
      <w:spacing w:after="80" w:before="200"/>
      <w:outlineLvl w:val="2"/>
    </w:pPr>
    <w:rPr>
      <w:rFonts w:asciiTheme="majorHAnsi" w:cstheme="majorBidi" w:eastAsiaTheme="majorEastAsia" w:hAnsiTheme="majorHAnsi"/>
      <w:b/>
      <w:bCs/>
      <w:color w:val="000000"/>
      <w:sz w:val="28"/>
      <w:szCs w:val="28"/>
    </w:rPr>
  </w:style>
  <w:style w:styleId="Heading4" w:type="paragraph">
    <w:name w:val="heading 4"/>
    <w:basedOn w:val="Normal"/>
    <w:next w:val="BodyText"/>
    <w:link w:val="Heading4Char"/>
    <w:uiPriority w:val="9"/>
    <w:unhideWhenUsed/>
    <w:qFormat/>
    <w:rsid w:val="00A10FD9"/>
    <w:pPr>
      <w:keepNext/>
      <w:keepLines/>
      <w:spacing w:after="60" w:before="160"/>
      <w:outlineLvl w:val="3"/>
    </w:pPr>
    <w:rPr>
      <w:rFonts w:asciiTheme="majorHAnsi" w:cstheme="majorBidi" w:eastAsiaTheme="majorEastAsia" w:hAnsiTheme="majorHAnsi"/>
      <w:b/>
      <w:bCs/>
      <w:color w:val="000000"/>
      <w:sz w:val="24"/>
      <w:szCs w:val="24"/>
    </w:rPr>
  </w:style>
  <w:style w:styleId="Heading5" w:type="paragraph">
    <w:name w:val="heading 5"/>
    <w:basedOn w:val="Normal"/>
    <w:next w:val="BodyText"/>
    <w:link w:val="Heading5Char"/>
    <w:uiPriority w:val="9"/>
    <w:unhideWhenUsed/>
    <w:qFormat/>
    <w:rsid w:val="00A10FD9"/>
    <w:pPr>
      <w:keepNext/>
      <w:keepLines/>
      <w:spacing w:after="60" w:before="160"/>
      <w:outlineLvl w:val="4"/>
    </w:pPr>
    <w:rPr>
      <w:rFonts w:asciiTheme="majorHAnsi" w:cstheme="majorBidi" w:eastAsiaTheme="majorEastAsia" w:hAnsiTheme="majorHAnsi"/>
      <w:b/>
      <w:bCs/>
      <w:color w:val="000000"/>
      <w:sz w:val="22"/>
      <w:szCs w:val="22"/>
    </w:rPr>
  </w:style>
  <w:style w:styleId="Heading6" w:type="paragraph">
    <w:name w:val="heading 6"/>
    <w:basedOn w:val="Normal"/>
    <w:next w:val="BodyText"/>
    <w:link w:val="Heading6Char"/>
    <w:uiPriority w:val="9"/>
    <w:unhideWhenUsed/>
    <w:qFormat/>
    <w:rsid w:val="00A10FD9"/>
    <w:pPr>
      <w:keepNext/>
      <w:keepLines/>
      <w:spacing w:after="40" w:before="120"/>
      <w:outlineLvl w:val="5"/>
    </w:pPr>
    <w:rPr>
      <w:rFonts w:asciiTheme="majorHAnsi" w:cstheme="majorBidi" w:eastAsiaTheme="majorEastAsia" w:hAnsiTheme="majorHAnsi"/>
      <w:b/>
      <w:bCs/>
      <w:color w:val="000000"/>
      <w:sz w:val="21"/>
      <w:szCs w:val="21"/>
    </w:rPr>
  </w:style>
  <w:style w:styleId="Heading7" w:type="paragraph">
    <w:name w:val="heading 7"/>
    <w:basedOn w:val="Normal"/>
    <w:next w:val="BodyText"/>
    <w:link w:val="Heading7Char"/>
    <w:uiPriority w:val="9"/>
    <w:unhideWhenUsed/>
    <w:qFormat/>
    <w:rsid w:val="00A10FD9"/>
    <w:pPr>
      <w:keepNext/>
      <w:keepLines/>
      <w:spacing w:after="40" w:before="120"/>
      <w:outlineLvl w:val="6"/>
    </w:pPr>
    <w:rPr>
      <w:rFonts w:asciiTheme="majorHAnsi" w:cstheme="majorBidi" w:eastAsiaTheme="majorEastAsia" w:hAnsiTheme="majorHAnsi"/>
      <w:b/>
      <w:bCs/>
      <w:color w:val="000000"/>
      <w:sz w:val="21"/>
      <w:szCs w:val="21"/>
    </w:rPr>
  </w:style>
  <w:style w:styleId="Heading8" w:type="paragraph">
    <w:name w:val="heading 8"/>
    <w:basedOn w:val="Normal"/>
    <w:next w:val="BodyText"/>
    <w:link w:val="Heading8Char"/>
    <w:uiPriority w:val="9"/>
    <w:unhideWhenUsed/>
    <w:qFormat/>
    <w:rsid w:val="00A10FD9"/>
    <w:pPr>
      <w:keepNext/>
      <w:keepLines/>
      <w:spacing w:after="40" w:before="120"/>
      <w:outlineLvl w:val="7"/>
    </w:pPr>
    <w:rPr>
      <w:rFonts w:asciiTheme="majorHAnsi" w:cstheme="majorBidi" w:eastAsiaTheme="majorEastAsia" w:hAnsiTheme="majorHAnsi"/>
      <w:b/>
      <w:bCs/>
      <w:color w:val="000000"/>
      <w:sz w:val="21"/>
      <w:szCs w:val="21"/>
    </w:rPr>
  </w:style>
  <w:style w:styleId="Heading9" w:type="paragraph">
    <w:name w:val="heading 9"/>
    <w:basedOn w:val="Normal"/>
    <w:next w:val="BodyText"/>
    <w:link w:val="Heading9Char"/>
    <w:uiPriority w:val="9"/>
    <w:unhideWhenUsed/>
    <w:qFormat/>
    <w:rsid w:val="00A10FD9"/>
    <w:pPr>
      <w:keepNext/>
      <w:keepLines/>
      <w:spacing w:after="40" w:before="120"/>
      <w:outlineLvl w:val="8"/>
    </w:pPr>
    <w:rPr>
      <w:rFonts w:asciiTheme="majorHAnsi" w:cstheme="majorBidi" w:eastAsiaTheme="majorEastAsia" w:hAnsiTheme="majorHAnsi"/>
      <w:b/>
      <w:bCs/>
      <w:color w:val="000000"/>
      <w:sz w:val="21"/>
      <w:szCs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b/>
      <w:bCs/>
      <w:color w:val="000000"/>
      <w:sz w:val="44"/>
      <w:szCs w:val="44"/>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b/>
      <w:bCs/>
      <w:color w:val="000000"/>
      <w:sz w:val="36"/>
      <w:szCs w:val="36"/>
    </w:rPr>
  </w:style>
  <w:style w:customStyle="1" w:styleId="Heading3Char" w:type="character">
    <w:name w:val="Heading 3 Char"/>
    <w:basedOn w:val="DefaultParagraphFont"/>
    <w:link w:val="Heading3"/>
    <w:uiPriority w:val="9"/>
    <w:rsid w:val="00A10FD9"/>
    <w:rPr>
      <w:rFonts w:asciiTheme="majorHAnsi" w:cstheme="majorBidi" w:eastAsiaTheme="majorEastAsia" w:hAnsiTheme="majorHAnsi"/>
      <w:b/>
      <w:bCs/>
      <w:color w:val="000000"/>
      <w:sz w:val="28"/>
      <w:szCs w:val="28"/>
    </w:rPr>
  </w:style>
  <w:style w:customStyle="1" w:styleId="Heading4Char" w:type="character">
    <w:name w:val="Heading 4 Char"/>
    <w:basedOn w:val="DefaultParagraphFont"/>
    <w:link w:val="Heading4"/>
    <w:uiPriority w:val="9"/>
    <w:rsid w:val="00A10FD9"/>
    <w:rPr>
      <w:rFonts w:asciiTheme="majorHAnsi" w:cstheme="majorBidi" w:eastAsiaTheme="majorEastAsia" w:hAnsiTheme="majorHAnsi"/>
      <w:b/>
      <w:bCs/>
      <w:color w:val="000000"/>
      <w:sz w:val="24"/>
      <w:szCs w:val="24"/>
    </w:rPr>
  </w:style>
  <w:style w:customStyle="1" w:styleId="Heading5Char" w:type="character">
    <w:name w:val="Heading 5 Char"/>
    <w:basedOn w:val="DefaultParagraphFont"/>
    <w:link w:val="Heading5"/>
    <w:uiPriority w:val="9"/>
    <w:rsid w:val="00A10FD9"/>
    <w:rPr>
      <w:rFonts w:asciiTheme="majorHAnsi" w:cstheme="majorBidi" w:eastAsiaTheme="majorEastAsia" w:hAnsiTheme="majorHAnsi"/>
      <w:b/>
      <w:bCs/>
      <w:color w:val="000000"/>
      <w:sz w:val="22"/>
      <w:szCs w:val="22"/>
    </w:rPr>
  </w:style>
  <w:style w:customStyle="1" w:styleId="Heading6Char" w:type="character">
    <w:name w:val="Heading 6 Char"/>
    <w:basedOn w:val="DefaultParagraphFont"/>
    <w:link w:val="Heading6"/>
    <w:uiPriority w:val="9"/>
    <w:rsid w:val="00A10FD9"/>
    <w:rPr>
      <w:rFonts w:asciiTheme="majorHAnsi" w:cstheme="majorBidi" w:eastAsiaTheme="majorEastAsia" w:hAnsiTheme="majorHAnsi"/>
      <w:b/>
      <w:bCs/>
      <w:color w:val="000000"/>
      <w:sz w:val="21"/>
      <w:szCs w:val="21"/>
    </w:rPr>
  </w:style>
  <w:style w:customStyle="1" w:styleId="Heading7Char" w:type="character">
    <w:name w:val="Heading 7 Char"/>
    <w:basedOn w:val="DefaultParagraphFont"/>
    <w:link w:val="Heading7"/>
    <w:uiPriority w:val="9"/>
    <w:rsid w:val="00A10FD9"/>
    <w:rPr>
      <w:rFonts w:asciiTheme="majorHAnsi" w:cstheme="majorBidi" w:eastAsiaTheme="majorEastAsia" w:hAnsiTheme="majorHAnsi"/>
      <w:b/>
      <w:bCs/>
      <w:color w:val="000000"/>
      <w:sz w:val="21"/>
      <w:szCs w:val="21"/>
    </w:rPr>
  </w:style>
  <w:style w:customStyle="1" w:styleId="Heading8Char" w:type="character">
    <w:name w:val="Heading 8 Char"/>
    <w:basedOn w:val="DefaultParagraphFont"/>
    <w:link w:val="Heading8"/>
    <w:uiPriority w:val="9"/>
    <w:rsid w:val="00A10FD9"/>
    <w:rPr>
      <w:rFonts w:asciiTheme="majorHAnsi" w:cstheme="majorBidi" w:eastAsiaTheme="majorEastAsia" w:hAnsiTheme="majorHAnsi"/>
      <w:b/>
      <w:bCs/>
      <w:color w:val="000000"/>
      <w:sz w:val="21"/>
      <w:szCs w:val="21"/>
    </w:rPr>
  </w:style>
  <w:style w:customStyle="1" w:styleId="Heading9Char" w:type="character">
    <w:name w:val="Heading 9 Char"/>
    <w:basedOn w:val="DefaultParagraphFont"/>
    <w:link w:val="Heading9"/>
    <w:uiPriority w:val="9"/>
    <w:rsid w:val="00A10FD9"/>
    <w:rPr>
      <w:rFonts w:asciiTheme="majorHAnsi" w:cstheme="majorBidi" w:eastAsiaTheme="majorEastAsia" w:hAnsiTheme="majorHAnsi"/>
      <w:b/>
      <w:bCs/>
      <w:color w:val="000000"/>
      <w:sz w:val="21"/>
      <w:szCs w:val="21"/>
    </w:rPr>
  </w:style>
  <w:style w:styleId="BlockText" w:type="paragraph">
    <w:name w:val="Block Text"/>
    <w:basedOn w:val="BodyText"/>
    <w:next w:val="BodyText"/>
    <w:uiPriority w:val="9"/>
    <w:unhideWhenUsed/>
    <w:qFormat/>
    <w:pPr>
      <w:spacing w:after="100" w:before="100"/>
      <w:ind w:firstLine="0" w:left="480" w:right="480"/>
      <w:pBdr>
        <w:left w:color="CCCCCC" w:space="12" w:sz="18" w:val="single"/>
      </w:pBdr>
    </w:pPr>
    <w:rPr>
      <w:color w:val="99999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55"/>
        <w:left w:type="dxa" w:w="108"/>
        <w:bottom w:type="dxa" w:w="55"/>
        <w:right w:type="dxa" w:w="108"/>
      </w:tblCellMar>
    </w:tblPr>
    <w:tblStylePr w:type="firstRow">
      <w:rPr>
        <w:b/>
        <w:bCs/>
      </w:rPr>
      <w:tcPr>
        <w:tcBorders>
          <w:bottom w:color="000000" w:space="0" w:sz="8" w:val="single"/>
        </w:tcBorders>
        <w:vAlign w:val="bottom"/>
      </w:tcPr>
    </w:tblStylePr>
  </w:style>
  <w:style w:customStyle="1" w:styleId="BorderlessTable" w:type="table">
    <w:name w:val="BorderlessTable"/>
    <w:tblPr>
      <w:tblBorders>
        <w:top w:color="auto" w:space="0" w:sz="0" w:val="none"/>
        <w:left w:color="auto" w:space="0" w:sz="0" w:val="none"/>
        <w:bottom w:color="auto" w:space="0" w:sz="0" w:val="none"/>
        <w:right w:color="auto" w:space="0" w:sz="0" w:val="none"/>
        <w:insideH w:color="auto" w:space="0" w:sz="0" w:val="none"/>
        <w:insideV w:color="auto" w:space="0" w:sz="0" w:val="none"/>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uiPriority w:val="9"/>
    <w:qFormat/>
    <w:pPr>
      <w:spacing w:after="100" w:before="100"/>
      <w:shd w:color="auto" w:fill="F0F0F0" w:val="clear"/>
      <w:ind w:left="240" w:right="240"/>
    </w:pPr>
    <w:rPr>
      <w:rFonts w:ascii="Consolas" w:hAnsi="Consolas"/>
      <w:sz w:val="22"/>
      <w:color w:val="333333"/>
    </w:rPr>
  </w:style>
  <w:style w:customStyle="1" w:styleId="VerbatimChar" w:type="character">
    <w:name w:val="Verbatim Char"/>
    <w:basedOn w:val="BodyTextChar"/>
    <w:rPr>
      <w:rFonts w:ascii="Consolas" w:hAnsi="Consolas"/>
      <w:sz w:val="22"/>
      <w:shd w:color="auto" w:fill="F0F0F0" w:val="clear"/>
      <w:color w:val="33333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2026-09-20T00:36:15Z</dcterms:created>
  <dcterms:modified xsi:type="dcterms:W3CDTF">2026-09-20T00:36:15Z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6RIS6OEVhJVeQYJRSBbs4epvCM5Cr5IqGvQC/NU9KUU=","ProduceID":"doc_sgs:b14b2cdd-893e-472d-9e85-47677540376c","ReservedCode2":"6RIS6OEVhJVeQYJRSBbs4epvCM5Cr5IqGvQC/NU9KUU=","PropagateID":"doc_sgs:b14b2cdd-893e-472d-9e85-47677540376c","ContentProducer":"001191440101MA9Y9T4H7A00000"}</vt:lpwstr>
  </property>
</Properties>
</file>