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6dd4837906184e81a835f28182d9f70b" w:id="1001"/>
      <w:r>
        <w:rPr>
          <w:rFonts w:ascii="黑体" w:hAnsi="黑体" w:cs="黑体" w:eastAsia="黑体"/>
          <w:sz w:val="44"/>
          <w:spacing w:val="0"/>
          <w:b w:val="on"/>
          <w:i w:val="off"/>
        </w:rPr>
        <w:t>探长，写好了。</w:t>
      </w:r>
      <w:bookmarkEnd w:id="100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d8853d8e54c41079dc7157bce1333c3" w:id="1002"/>
      <w:r>
        <w:rPr>
          <w:rFonts w:ascii="宋体" w:hAnsi="宋体" w:cs="宋体" w:eastAsia="宋体"/>
          <w:sz w:val="32"/>
          <w:spacing w:val="0"/>
          <w:b w:val="off"/>
          <w:i w:val="off"/>
        </w:rPr>
        <w:t>这是 Supplement 的 TeX 代码，直接接在主文后面即可。它把"基变换"这个洞见，从人脸识别、JPEG 到概念空间，全部串成了一条数学链条。</w:t>
      </w:r>
      <w:bookmarkEnd w:id="100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11b1e39f0ee487581a74871cacd7109" w:id="1003"/>
      <w:r>
        <w:rPr>
          <w:rFonts w:ascii="宋体" w:hAnsi="宋体" w:cs="宋体" w:eastAsia="宋体"/>
          <w:sz w:val="32"/>
          <w:spacing w:val="0"/>
          <w:b w:val="off"/>
          <w:i w:val="off"/>
        </w:rPr>
        <w:t>\clearpage</w:t>
      </w:r>
      <w:bookmarkEnd w:id="100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150fea8617e47e69f22f6b15a7fcb69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\appendix</w:t>
      </w:r>
      <w:bookmarkEnd w:id="100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a6a84dac26c4c46a31562a74966a1e1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\section*{Supplement A: The Mathematical Unity of Concept Space Navigation}</w:t>
      </w:r>
      <w:bookmarkEnd w:id="100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0b4cc459ace43e4901f12539aa80ef0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\subsection*{A.1 The Common Structure}</w:t>
      </w:r>
      <w:bookmarkEnd w:id="100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de905e3d6714021a86cefed704ca92d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The Atlas Framework described in the main text is not an isolated analogy. It is a specific instance of a universal mathematical structure that appears across neuroscience, signal processing, and machine learning: \textbf{representation via basis coefficients}.</w:t>
      </w:r>
      <w:bookmarkEnd w:id="100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01b4f332c7f44b0b804b164701f4555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At its core, the claim is that any complex object---a face, an image, a memory, a concept---can be expressed as a linear combination of basis vectors:</w:t>
      </w:r>
      <w:bookmarkEnd w:id="100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2b2a79dc5534a5d81388059b3f51637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\begin{equation}</w:t>
      </w:r>
      <w:bookmarkEnd w:id="100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999157645014ebfb12c4d0866201a13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\mathbf{x} = \sum_{i=1}^{n} \alpha_i \mathbf{e}_i</w:t>
      </w:r>
      <w:bookmarkEnd w:id="101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4ba6c1d5aba443dbb6f82ea9c509af0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\end{equation}</w:t>
      </w:r>
      <w:bookmarkEnd w:id="101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f5043b3b50345e79a1815169354084a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where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{"/>
            <m:sepChr m:val=","/>
            <m:endChr m:val="}"/>
          </m:dPr>
          <m:e>
            <m:sSub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are the basis vectors and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{"/>
            <m:sepChr m:val=","/>
            <m:endChr m:val="}"/>
          </m:dPr>
          <m:e>
            <m:sSub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are the coefficients. The object is not ``stored'' as a raw entity; it is \textbf{encoded} as a set of coefficients over a fixed basis.</w:t>
      </w:r>
      <w:bookmarkEnd w:id="101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14a3e10d5ed44b49e8c463b4fe3bfd2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This is not new. What is new is recognizing that \textbf{the same structure governs all four domains below}, and that a ``token'' in an LLM is simply the coefficient vector that activates a specific point in this shared representational space.</w:t>
      </w:r>
      <w:bookmarkEnd w:id="1013"/>
    </w:p>
    <w:p>
      <w:pPr>
        <w:pStyle w:val="正文三级标题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e32b72d59a2460e921a9432eb3cb99b" w:id="1014"/>
      <w:r>
        <w:rPr>
          <w:rFonts w:ascii="黑体" w:hAnsi="黑体" w:cs="黑体" w:eastAsia="黑体"/>
          <w:sz w:val="32"/>
          <w:spacing w:val="0"/>
          <w:b w:val="on"/>
          <w:i w:val="off"/>
        </w:rPr>
        <w:t>\subsection*{A.2 Face Recognition: Eigenfaces and Coefficient Strength}</w:t>
      </w:r>
      <w:bookmarkEnd w:id="101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a82f271001f47eb9d04906e30bab320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In Cao Ying's work on face recognition (and the broader eigenface literature), a face image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I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is decomposed via Singular Value Decomposition (SVD) or Principal Component Analysis (PCA):</w:t>
      </w:r>
      <w:bookmarkEnd w:id="101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bf280695dcc498590cf5074fb9e62c2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\begin{equation}</w:t>
      </w:r>
      <w:bookmarkEnd w:id="101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b7b898c78154ec8a0f069477fe65182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\mathbf{I} \approx \sum_{i=1}^{k} w_i \mathbf{u}_i</w:t>
      </w:r>
      <w:bookmarkEnd w:id="101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7d881c9923347519dc1c6427149a666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\end{equation}</w:t>
      </w:r>
      <w:bookmarkEnd w:id="101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0bb9c3d098c40a8943a7358d20b8b4d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where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{"/>
            <m:sepChr m:val=","/>
            <m:endChr m:val="}"/>
          </m:dPr>
          <m:e>
            <m:sSub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are the eigenfaces (orthonormal basis vectors) and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{"/>
            <m:sepChr m:val=","/>
            <m:endChr m:val="}"/>
          </m:dPr>
          <m:e>
            <m:sSub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are the projection coefficients.</w:t>
      </w:r>
      <w:bookmarkEnd w:id="101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4a0ba42a89b4b24ad5357b1c353472c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\textbf{Key insight:} Recognition is not about matching pixels. It is about computing the coefficient vector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=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r>
              <w:rPr>
                <w:rFonts w:ascii="Cambria Math" w:hAnsi="Cambria Math"/>
              </w:rPr>
              <m:t>…</m:t>
            </m:r>
          </m:e>
          <m:e>
            <m:sSub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and checking whether it is close to a stored coefficient vector for a known identity.</w:t>
      </w:r>
      <w:bookmarkEnd w:id="102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a83204043ea4545a35ca22dc756411c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The \textit{strength} of recognition---how quickly and confidently you identify someone---is directly proportional to the magnitude of the dominant coefficients. Strong coefficients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→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immediate recognition. Weak coefficients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→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``I know this face but can't place it.''</w:t>
      </w:r>
      <w:bookmarkEnd w:id="102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7df39311df24c7a9e1e054db5c238f2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This is exactly what happened with my brother and the number ``11'': the coefficient for ``11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→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Yao Ming'' had decayed, so the recognition was weak until a secondary probe (``Houston Rockets'') boosted the relevant coefficients.</w:t>
      </w:r>
      <w:bookmarkEnd w:id="1022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167ba5396ae449ba8ee4f8f130b4332c" w:id="1023"/>
      <w:r>
        <w:rPr>
          <w:rFonts w:ascii="黑体" w:hAnsi="黑体" w:cs="黑体" w:eastAsia="黑体"/>
          <w:sz w:val="34"/>
          <w:spacing w:val="0"/>
          <w:b w:val="on"/>
          <w:i w:val="off"/>
        </w:rPr>
        <w:t>\subsection*{A.3 JPEG Encoding: DCT Basis and Compression}</w:t>
      </w:r>
      <w:bookmarkEnd w:id="102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70bf75944cc411ba08b5173aacb4f70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JPEG compression operates on the same principle, but in the frequency domain. An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8×8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image block is transformed via the Discrete Cosine Transform (DCT):</w:t>
      </w:r>
      <w:bookmarkEnd w:id="102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691e8be647448549bb9ac6c2fab160e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\begin{equation}</w:t>
      </w:r>
      <w:bookmarkEnd w:id="102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2f730bf38054c4b8c45343146d3a0a7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B(u,v) = \alpha(u)\alpha(v) \sum_{x=0}^{7}\sum_{y=0}^{7} I(x,y) \cos\left[\frac{(2x+1)u\pi}{16}\right] \cos\left[\frac{(2y+1)v\pi}{16}\right]</w:t>
      </w:r>
      <w:bookmarkEnd w:id="102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ad10fadf0f246759616075b2ae1787c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>\end{equation}</w:t>
      </w:r>
      <w:bookmarkEnd w:id="102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a9c3cfeda9e4582901d7245abc77ab9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The result is a set of DCT coefficients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u</m:t>
            </m:r>
          </m:e>
          <m:e>
            <m:r>
              <w:rPr>
                <w:rFonts w:ascii="Cambria Math" w:hAnsi="Cambria Math"/>
              </w:rPr>
              <m:t>v</m:t>
            </m:r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, each corresponding to a specific frequency basis function. Compression works by \textbf{discarding small coefficients}---those that contribute little to the perceived image.</w:t>
      </w:r>
      <w:bookmarkEnd w:id="102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331a9eae004413caf1f9a5fa88ad212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\textbf{Key insight:} The JPEG-encoded image is not a pixel grid. It is a \textit{coefficient vector} over a fixed DCT basis. Decoding is simply the inverse transform: multiplying each basis function by its coefficient and summing.</w:t>
      </w:r>
      <w:bookmarkEnd w:id="102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d4e898c42134b4dbf050142f5ea47b5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This is the same operation as concept space activation: a token provides the coefficients, the model's weights provide the basis, and the output is the reconstruction.</w:t>
      </w:r>
      <w:bookmarkEnd w:id="1030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2576a9a14c3a46e78bea4a2ce05a5b62" w:id="1031"/>
      <w:r>
        <w:rPr>
          <w:rFonts w:ascii="黑体" w:hAnsi="黑体" w:cs="黑体" w:eastAsia="黑体"/>
          <w:sz w:val="34"/>
          <w:spacing w:val="0"/>
          <w:b w:val="on"/>
          <w:i w:val="off"/>
        </w:rPr>
        <w:t>\subsection*{A.4 Memory and Synaptic Weights: The Biological Basis}</w:t>
      </w:r>
      <w:bookmarkEnd w:id="103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bd34a50b3c040338ea52a780e937ac9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In neuroscience, memory is encoded in synaptic weights. Hebbian learning---``neurons that fire together, wire together''---is fundamentally a coefficient update rule:</w:t>
      </w:r>
      <w:bookmarkEnd w:id="103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54fb1430a3d4eccb3ec2efc3298aae7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\begin{equation}</w:t>
      </w:r>
      <w:bookmarkEnd w:id="103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e0ca9ec2ccb449990bb75223fbfd8d6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>\Delta w_{ij} = \eta \, x_i \, y_j</w:t>
      </w:r>
      <w:bookmarkEnd w:id="103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d796838b83741aeac041e6a4ec0f154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t>\end{equation}</w:t>
      </w:r>
      <w:bookmarkEnd w:id="103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b5c8f64e5b640caaf4d460ff7a74931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where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is the synaptic weight between neuron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i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and neuron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,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and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are their activations, and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η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is the learning rate.</w:t>
      </w:r>
      <w:bookmarkEnd w:id="103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293f99dd55d403d9696e7106658ac93" w:id="1037"/>
      <w:r>
        <w:rPr>
          <w:rFonts w:ascii="宋体" w:hAnsi="宋体" w:cs="宋体" w:eastAsia="宋体"/>
          <w:sz w:val="32"/>
          <w:spacing w:val="0"/>
          <w:b w:val="off"/>
          <w:i w:val="off"/>
        </w:rPr>
        <w:t>Over time, unused synapses undergo Long-Term Depression (LTD): the weights decay. This is not ``forgetting'' in the sense of data deletion. It is \textbf{coefficient decay}. The memory trace is still present in the network structure, but the activation coefficients have shrunk below the threshold for reliable retrieval.</w:t>
      </w:r>
      <w:bookmarkEnd w:id="103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9eaca87ebca4ce3aa31c9d1b84e2821" w:id="1038"/>
      <w:r>
        <w:rPr>
          <w:rFonts w:ascii="宋体" w:hAnsi="宋体" w:cs="宋体" w:eastAsia="宋体"/>
          <w:sz w:val="32"/>
          <w:spacing w:val="0"/>
          <w:b w:val="off"/>
          <w:i w:val="off"/>
        </w:rPr>
        <w:t>A secondary probe---a related cue, a contextual hint---can boost the relevant coefficients back above threshold, reactivating the memory. This is precisely what happened when I mentioned ``Houston Rockets'' to my brother.</w:t>
      </w:r>
      <w:bookmarkEnd w:id="1038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c7de188799b9462eaa55b57d94a59146" w:id="1039"/>
      <w:r>
        <w:rPr>
          <w:rFonts w:ascii="黑体" w:hAnsi="黑体" w:cs="黑体" w:eastAsia="黑体"/>
          <w:sz w:val="34"/>
          <w:spacing w:val="0"/>
          <w:b w:val="on"/>
          <w:i w:val="off"/>
        </w:rPr>
        <w:t>\subsection*{A.5 Concept Space: Tokens as Coefficient Vectors}</w:t>
      </w:r>
      <w:bookmarkEnd w:id="103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5b561e732334d9bb54fc955dca42679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Now we arrive at the central claim of the Atlas Framework.</w:t>
      </w:r>
      <w:bookmarkEnd w:id="104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36c9ee198ec409093e2b23f1d3383d4" w:id="1041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An LLM's weight matrix defines a high-dimensional semantic basis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{"/>
            <m:sepChr m:val=","/>
            <m:endChr m:val="}"/>
          </m:dPr>
          <m:e>
            <m:sSub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. Each token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is associated with an embedding vector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, which can be decomposed over this basis:</w:t>
      </w:r>
      <w:bookmarkEnd w:id="104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97635c2570f4439afd35e5fbb7efc07" w:id="1042"/>
      <w:r>
        <w:rPr>
          <w:rFonts w:ascii="宋体" w:hAnsi="宋体" w:cs="宋体" w:eastAsia="宋体"/>
          <w:sz w:val="32"/>
          <w:spacing w:val="0"/>
          <w:b w:val="off"/>
          <w:i w:val="off"/>
        </w:rPr>
        <w:t>\begin{equation}</w:t>
      </w:r>
      <w:bookmarkEnd w:id="104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99dd18b363740ccbf6fe397f0e9a334" w:id="1043"/>
      <w:r>
        <w:rPr>
          <w:rFonts w:ascii="宋体" w:hAnsi="宋体" w:cs="宋体" w:eastAsia="宋体"/>
          <w:sz w:val="32"/>
          <w:spacing w:val="0"/>
          <w:b w:val="off"/>
          <w:i w:val="off"/>
        </w:rPr>
        <w:t>\mathbf{v}_t = \sum_{i=1}^{d} \alpha_i^{(t)} \mathbf{e}_i</w:t>
      </w:r>
      <w:bookmarkEnd w:id="104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712408d0f484089b993fdcb91562405" w:id="1044"/>
      <w:r>
        <w:rPr>
          <w:rFonts w:ascii="宋体" w:hAnsi="宋体" w:cs="宋体" w:eastAsia="宋体"/>
          <w:sz w:val="32"/>
          <w:spacing w:val="0"/>
          <w:b w:val="off"/>
          <w:i w:val="off"/>
        </w:rPr>
        <w:t>\end{equation}</w:t>
      </w:r>
      <w:bookmarkEnd w:id="104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9d772b3ee714863b0013118165d42cb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The coefficients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α</m:t>
            </m:r>
          </m:e>
          <m:sup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  <m:r>
          <w:rPr>
            <w:rFonts w:ascii="Cambria Math" w:hAnsi="Cambria Math"/>
          </w:rPr>
          <m:t>=</m:t>
        </m:r>
        <m:d>
          <m:dPr>
            <m:sepChr m:val=","/>
          </m:dPr>
          <m:e>
            <m:sSubSup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e>
          <m:e>
            <m:r>
              <w:rPr>
                <w:rFonts w:ascii="Cambria Math" w:hAnsi="Cambria Math"/>
              </w:rPr>
              <m:t>…</m:t>
            </m:r>
          </m:e>
          <m:e>
            <m:sSubSup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  <m:sup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determine which regions of concept space are activated. When the token ``11'' is input, its coefficient vector activates the ``math'' region for my niece (whose concept space has strong math-related basis vectors) and the ``basketball'' region for my brother (whose concept space has strong basketball-related basis vectors, albeit with some decay).</w:t>
      </w:r>
      <w:bookmarkEnd w:id="104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41ed773f7af4619ac8d8752652af63f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\textbf{The token is not the meaning. The token is the coefficient vector that selects a point in concept space.}</w:t>
      </w:r>
      <w:bookmarkEnd w:id="1046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1334ac3dcec94ef899de7bd5557075ce" w:id="1047"/>
      <w:r>
        <w:rPr>
          <w:rFonts w:ascii="黑体" w:hAnsi="黑体" w:cs="黑体" w:eastAsia="黑体"/>
          <w:sz w:val="34"/>
          <w:spacing w:val="0"/>
          <w:b w:val="on"/>
          <w:i w:val="off"/>
        </w:rPr>
        <w:t>\subsection*{A.6 Basis Change: The Unifying Principle}</w:t>
      </w:r>
      <w:bookmarkEnd w:id="104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3176657ccbf42429392b15c2ad83d22" w:id="1048"/>
      <w:r>
        <w:rPr>
          <w:rFonts w:ascii="宋体" w:hAnsi="宋体" w:cs="宋体" w:eastAsia="宋体"/>
          <w:sz w:val="32"/>
          <w:spacing w:val="0"/>
          <w:b w:val="off"/>
          <w:i w:val="off"/>
        </w:rPr>
        <w:t>The profound insight is that all four domains above are related by \textbf{basis changes}.</w:t>
      </w:r>
      <w:bookmarkEnd w:id="104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5ada9d63b3640a99f9e4571f4627e07" w:id="1049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Let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cr m:val="script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be the eigenface basis,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cr m:val="script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the DCT basis,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cr m:val="script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the synaptic weight basis, and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cr m:val="script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the semantic concept basis. They are all different coordinate systems for representing structured information.</w:t>
      </w:r>
      <w:bookmarkEnd w:id="104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31be1a227d84e138bef0670dfaf2f57" w:id="1050"/>
      <w:r>
        <w:rPr>
          <w:rFonts w:ascii="宋体" w:hAnsi="宋体" w:cs="宋体" w:eastAsia="宋体"/>
          <w:sz w:val="32"/>
          <w:spacing w:val="0"/>
          <w:b w:val="off"/>
          <w:i w:val="off"/>
        </w:rPr>
        <w:t>The transformation from one basis to another is a linear (or approximately linear) map:</w:t>
      </w:r>
      <w:bookmarkEnd w:id="105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f852d3812034403afd7d4792deebd37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\begin{equation}</w:t>
      </w:r>
      <w:bookmarkEnd w:id="105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7e8ae42f1ac42428bb1878b571c11e5" w:id="1052"/>
      <w:r>
        <w:rPr>
          <w:rFonts w:ascii="宋体" w:hAnsi="宋体" w:cs="宋体" w:eastAsia="宋体"/>
          <w:sz w:val="32"/>
          <w:spacing w:val="0"/>
          <w:b w:val="off"/>
          <w:i w:val="off"/>
        </w:rPr>
        <w:t>\boldsymbol{\alpha}^{(\mathcal{B}_2)} = \mathbf{M}_{12} \, \boldsymbol{\alpha}^{(\mathcal{B}_1)}</w:t>
      </w:r>
      <w:bookmarkEnd w:id="105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7bb30d206ca48eb8d22b9863bdd716a" w:id="1053"/>
      <w:r>
        <w:rPr>
          <w:rFonts w:ascii="宋体" w:hAnsi="宋体" w:cs="宋体" w:eastAsia="宋体"/>
          <w:sz w:val="32"/>
          <w:spacing w:val="0"/>
          <w:b w:val="off"/>
          <w:i w:val="off"/>
        </w:rPr>
        <w:t>\end{equation}</w:t>
      </w:r>
      <w:bookmarkEnd w:id="105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e539deb3bfd4b64aa0696a2925da71d" w:id="1054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where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is the change-of-basis matrix.</w:t>
      </w:r>
      <w:bookmarkEnd w:id="105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d41f540dad54a51a37240781081e5b3" w:id="1055"/>
      <w:r>
        <w:rPr>
          <w:rFonts w:ascii="宋体" w:hAnsi="宋体" w:cs="宋体" w:eastAsia="宋体"/>
          <w:sz w:val="32"/>
          <w:spacing w:val="0"/>
          <w:b w:val="off"/>
          <w:i w:val="off"/>
        </w:rPr>
        <w:t>This means that the \textit{same underlying information} can be represented in multiple ways, and the choice of basis determines what aspects of the information are \textit{easy to access} and what aspects are \textit{compressed away}.</w:t>
      </w:r>
      <w:bookmarkEnd w:id="105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882eb5527d24c329b3ce27ef7c69444" w:id="1056"/>
      <w:r>
        <w:rPr>
          <w:rFonts w:ascii="宋体" w:hAnsi="宋体" w:cs="宋体" w:eastAsia="宋体"/>
          <w:sz w:val="32"/>
          <w:spacing w:val="0"/>
          <w:b w:val="off"/>
          <w:i w:val="off"/>
        </w:rPr>
        <w:t>\textbf{Face recognition} uses a basis optimized for identity discrimination.</w:t>
      </w:r>
      <w:bookmarkEnd w:id="105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2e664fa21284156a16d06728b84380d" w:id="1057"/>
      <w:r>
        <w:rPr>
          <w:rFonts w:ascii="宋体" w:hAnsi="宋体" w:cs="宋体" w:eastAsia="宋体"/>
          <w:sz w:val="32"/>
          <w:spacing w:val="0"/>
          <w:b w:val="off"/>
          <w:i w:val="off"/>
        </w:rPr>
        <w:t>\textbf{JPEG} uses a basis optimized for perceptual compression.</w:t>
      </w:r>
      <w:bookmarkEnd w:id="105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e13d4bda1a1493f91d5a7b3b796f41f" w:id="1058"/>
      <w:r>
        <w:rPr>
          <w:rFonts w:ascii="宋体" w:hAnsi="宋体" w:cs="宋体" w:eastAsia="宋体"/>
          <w:sz w:val="32"/>
          <w:spacing w:val="0"/>
          <w:b w:val="off"/>
          <w:i w:val="off"/>
        </w:rPr>
        <w:t>\textbf{Memory} uses a basis optimized for associative recall.</w:t>
      </w:r>
      <w:bookmarkEnd w:id="105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d4d6ab549f8486eb985ffe69c94f202" w:id="1059"/>
      <w:r>
        <w:rPr>
          <w:rFonts w:ascii="宋体" w:hAnsi="宋体" w:cs="宋体" w:eastAsia="宋体"/>
          <w:sz w:val="32"/>
          <w:spacing w:val="0"/>
          <w:b w:val="off"/>
          <w:i w:val="off"/>
        </w:rPr>
        <w:t>\textbf{Concept space} uses a basis optimized for semantic inference.</w:t>
      </w:r>
      <w:bookmarkEnd w:id="105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1c8ab318c0041f990cceb175d8d10ab" w:id="1060"/>
      <w:r>
        <w:rPr>
          <w:rFonts w:ascii="宋体" w:hAnsi="宋体" w:cs="宋体" w:eastAsia="宋体"/>
          <w:sz w:val="32"/>
          <w:spacing w:val="0"/>
          <w:b w:val="off"/>
          <w:i w:val="off"/>
        </w:rPr>
        <w:t>But the mathematical structure---representation via basis coefficients---is identical.</w:t>
      </w:r>
      <w:bookmarkEnd w:id="1060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02330ebdde5c47c8bbb1d173cb288d1a" w:id="1061"/>
      <w:r>
        <w:rPr>
          <w:rFonts w:ascii="黑体" w:hAnsi="黑体" w:cs="黑体" w:eastAsia="黑体"/>
          <w:sz w:val="34"/>
          <w:spacing w:val="0"/>
          <w:b w:val="on"/>
          <w:i w:val="off"/>
        </w:rPr>
        <w:t>\subsection*{A.7 Implications}</w:t>
      </w:r>
      <w:bookmarkEnd w:id="106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ad6a794d7ea4691a76c081d25043416" w:id="1062"/>
      <w:r>
        <w:rPr>
          <w:rFonts w:ascii="宋体" w:hAnsi="宋体" w:cs="宋体" w:eastAsia="宋体"/>
          <w:sz w:val="32"/>
          <w:spacing w:val="0"/>
          <w:b w:val="off"/>
          <w:i w:val="off"/>
        </w:rPr>
        <w:t>This unification has several practical implications:</w:t>
      </w:r>
      <w:bookmarkEnd w:id="106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9e5a36e3c2d4a749c5f4e5005d5436c" w:id="1063"/>
      <w:r>
        <w:rPr>
          <w:rFonts w:ascii="宋体" w:hAnsi="宋体" w:cs="宋体" w:eastAsia="宋体"/>
          <w:sz w:val="32"/>
          <w:spacing w:val="0"/>
          <w:b w:val="off"/>
          <w:i w:val="off"/>
        </w:rPr>
        <w:t>\begin{enumerate}</w:t>
      </w:r>
      <w:bookmarkEnd w:id="106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6528d6f30aa4476ba976ddbb7e5bb55" w:id="1064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\item \textbf{Prompt engineering is coefficient tuning.} When you craft a prompt, you are not ``writing instructions.'' You are adjusting the coefficient vector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α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to steer the model's activation toward a specific region of concept space.</w:t>
      </w:r>
      <w:bookmarkEnd w:id="106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3414ffb10ef41658fe043189c4c7979" w:id="1065"/>
      <w:r>
        <w:rPr>
          <w:rFonts w:ascii="宋体" w:hAnsi="宋体" w:cs="宋体" w:eastAsia="宋体"/>
          <w:sz w:val="32"/>
          <w:spacing w:val="0"/>
          <w:b w:val="off"/>
          <w:i w:val="off"/>
        </w:rPr>
        <w:t>\item \textbf{Context window bloat is inefficient.} Stuffing text into a context window is like storing an image as raw pixels when you could store it as DCT coefficients. The model's weights already encode the basis; you only need to provide the right coefficients.</w:t>
      </w:r>
      <w:bookmarkEnd w:id="106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d21ea8617344297b65b150170c22203" w:id="1066"/>
      <w:r>
        <w:rPr>
          <w:rFonts w:ascii="宋体" w:hAnsi="宋体" w:cs="宋体" w:eastAsia="宋体"/>
          <w:sz w:val="32"/>
          <w:spacing w:val="0"/>
          <w:b w:val="off"/>
          <w:i w:val="off"/>
        </w:rPr>
        <w:t>\item \textbf{Memory decay is reversible.} Since forgetting is coefficient decay rather than data deletion, memories can be reactivated with the right secondary probes. This has implications for both AI context management and cognitive rehabilitation.</w:t>
      </w:r>
      <w:bookmarkEnd w:id="106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ac2372096134bcd99baa6c4e21980f8" w:id="1067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\item \textbf{Cross-domain transfer is basis alignment.} When an AI agent ``understands'' a human, it is aligning its semantic basis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cr m:val="script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with the human's cognitive basis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cr m:val="script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. The Atlas project is, at its core, a effort to learn this alignment map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34</m:t>
            </m:r>
          </m:sub>
        </m:sSub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.</w:t>
      </w:r>
      <w:bookmarkEnd w:id="106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3d78d01d4cd46f182245d9a5bf7a141" w:id="1068"/>
      <w:r>
        <w:rPr>
          <w:rFonts w:ascii="宋体" w:hAnsi="宋体" w:cs="宋体" w:eastAsia="宋体"/>
          <w:sz w:val="32"/>
          <w:spacing w:val="0"/>
          <w:b w:val="off"/>
          <w:i w:val="off"/>
        </w:rPr>
        <w:t>\end{enumerate}</w:t>
      </w:r>
      <w:bookmarkEnd w:id="1068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3c704b5403494fd8a5315a38e7ff3f4f" w:id="1069"/>
      <w:r>
        <w:rPr>
          <w:rFonts w:ascii="黑体" w:hAnsi="黑体" w:cs="黑体" w:eastAsia="黑体"/>
          <w:sz w:val="34"/>
          <w:spacing w:val="0"/>
          <w:b w:val="on"/>
          <w:i w:val="off"/>
        </w:rPr>
        <w:t>\subsection*{A.8 Conclusion}</w:t>
      </w:r>
      <w:bookmarkEnd w:id="106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377a9f11d6d4481881a0950ef563057" w:id="1070"/>
      <w:r>
        <w:rPr>
          <w:rFonts w:ascii="宋体" w:hAnsi="宋体" w:cs="宋体" w:eastAsia="宋体"/>
          <w:sz w:val="32"/>
          <w:spacing w:val="0"/>
          <w:b w:val="off"/>
          <w:i w:val="off"/>
        </w:rPr>
        <w:t>The Atlas Framework is not a metaphor. It is a mathematical identity: concept space navigation \textit{is} basis coefficient activation, the same operation that underlies face recognition, image compression, and synaptic memory.</w:t>
      </w:r>
      <w:bookmarkEnd w:id="107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4a8aa63ca1e4956802a4a192b4383c7" w:id="1071"/>
      <w:r>
        <w:rPr>
          <w:rFonts w:ascii="宋体" w:hAnsi="宋体" w:cs="宋体" w:eastAsia="宋体"/>
          <w:sz w:val="32"/>
          <w:spacing w:val="0"/>
          <w:b w:val="off"/>
          <w:i w:val="off"/>
        </w:rPr>
        <w:t>The token is the probe. The weights are the basis. The output is the reconstruction.</w:t>
      </w:r>
      <w:bookmarkEnd w:id="107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4e62ef1631e4a76b925c6c3de128bd4" w:id="1072"/>
      <w:r>
        <w:rPr>
          <w:rFonts w:ascii="宋体" w:hAnsi="宋体" w:cs="宋体" w:eastAsia="宋体"/>
          <w:sz w:val="32"/>
          <w:spacing w:val="0"/>
          <w:b w:val="off"/>
          <w:i w:val="off"/>
        </w:rPr>
        <w:t>And the key to intelligence---artificial or biological---is not storing more data, but finding better bases and sharper coefficients.</w:t>
      </w:r>
      <w:bookmarkEnd w:id="107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e87c1c1c538242b396685e75904edd7d" w:id="1073"/>
      <w:bookmarkEnd w:id="107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00f35390b354b49b4a7d67399c72b7d" w:id="1074"/>
      <w:r>
        <w:rPr>
          <w:rFonts w:ascii="宋体" w:hAnsi="宋体" w:cs="宋体" w:eastAsia="宋体"/>
          <w:sz w:val="32"/>
          <w:spacing w:val="0"/>
          <w:b w:val="off"/>
          <w:i w:val="off"/>
        </w:rPr>
        <w:t>探长，这篇 Supplement 把"基变换"这条线彻底拉通了：</w:t>
      </w:r>
      <w:bookmarkEnd w:id="1074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cb22a28-cbe7-4a08-8a8a-4cad6edeaaba" w:id="1075"/>
      <w:r>
        <w:rPr>
          <w:rFonts w:ascii="宋体" w:hAnsi="宋体" w:cs="宋体" w:eastAsia="宋体"/>
          <w:sz w:val="32"/>
          <w:spacing w:val="0"/>
          <w:b w:val="off"/>
          <w:i w:val="off"/>
        </w:rPr>
        <w:t>A.2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讲人脸识别，直接呼应你大哥的记忆衰减。</w:t>
      </w:r>
      <w:bookmarkEnd w:id="1075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d7e7d527-c766-4707-bee5-ebf786642d2e" w:id="1076"/>
      <w:r>
        <w:rPr>
          <w:rFonts w:ascii="宋体" w:hAnsi="宋体" w:cs="宋体" w:eastAsia="宋体"/>
          <w:sz w:val="32"/>
          <w:spacing w:val="0"/>
          <w:b w:val="off"/>
          <w:i w:val="off"/>
        </w:rPr>
        <w:t>A.3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讲 JPEG，把 DCT 系数和 Token 系数对应起来。</w:t>
      </w:r>
      <w:bookmarkEnd w:id="1076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d0fc86d9-a8e3-428d-8589-c311ac9c0321" w:id="1077"/>
      <w:r>
        <w:rPr>
          <w:rFonts w:ascii="宋体" w:hAnsi="宋体" w:cs="宋体" w:eastAsia="宋体"/>
          <w:sz w:val="32"/>
          <w:spacing w:val="0"/>
          <w:b w:val="off"/>
          <w:i w:val="off"/>
        </w:rPr>
        <w:t>A.4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讲神经科学，把突触权重和系数衰减统一。</w:t>
      </w:r>
      <w:bookmarkEnd w:id="1077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8c7a389b-a83c-49c0-83ca-6c9ebaa42b5f" w:id="1078"/>
      <w:r>
        <w:rPr>
          <w:rFonts w:ascii="宋体" w:hAnsi="宋体" w:cs="宋体" w:eastAsia="宋体"/>
          <w:sz w:val="32"/>
          <w:spacing w:val="0"/>
          <w:b w:val="off"/>
          <w:i w:val="off"/>
        </w:rPr>
        <w:t>A.5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回到概念空间，点明 Token 就是系数向量。</w:t>
      </w:r>
      <w:bookmarkEnd w:id="1078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98fe6f8f-25eb-430b-a710-2a0cbe71d2fd" w:id="1079"/>
      <w:r>
        <w:rPr>
          <w:rFonts w:ascii="宋体" w:hAnsi="宋体" w:cs="宋体" w:eastAsia="宋体"/>
          <w:sz w:val="32"/>
          <w:spacing w:val="0"/>
          <w:b w:val="off"/>
          <w:i w:val="off"/>
        </w:rPr>
        <w:t>A.6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是核心——基变换，四个领域是同一套数学结构在不同坐标系下的投影。</w:t>
      </w:r>
      <w:bookmarkEnd w:id="1079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ad885057-c708-4646-8dd5-3763ee8d53c7" w:id="1080"/>
      <w:r>
        <w:rPr>
          <w:rFonts w:ascii="宋体" w:hAnsi="宋体" w:cs="宋体" w:eastAsia="宋体"/>
          <w:sz w:val="32"/>
          <w:spacing w:val="0"/>
          <w:b w:val="off"/>
          <w:i w:val="off"/>
        </w:rPr>
        <w:t>A.7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给出四个实际推论，把理论落地到 Prompt 工程、上下文管理、记忆恢复、跨域迁移。</w:t>
      </w:r>
      <w:bookmarkEnd w:id="108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f98ee50758148fa8501a5fbeacb830f" w:id="1081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你可以直接把这段代码接在主文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`\end{document}`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之前，用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`\appendix`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自动切换编号。</w:t>
      </w:r>
      <w:bookmarkEnd w:id="108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d0961ff539540a8967faa1b287e737f" w:id="1082"/>
      <w:r>
        <w:rPr>
          <w:rFonts w:ascii="宋体" w:hAnsi="宋体" w:cs="宋体" w:eastAsia="宋体"/>
          <w:sz w:val="32"/>
          <w:spacing w:val="0"/>
          <w:b w:val="off"/>
          <w:i w:val="off"/>
        </w:rPr>
        <w:t>去跑吧，跑完回来，这两篇文章就钉在那里了。</w:t>
      </w:r>
      <w:bookmarkEnd w:id="1082"/>
    </w:p>
    <w:p>
      <w:pPr>
        <w:jc w:val="left"/>
      </w:pPr>
      <w:r>
        <w:rPr/>
        <w:t>(AI生成)</w:t>
      </w:r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正文三级标题">
    <w:name w:val="正文三级标题"/>
    <w:aliases w:val="正文三级标题"/>
    <w:uiPriority w:val="1"/>
    <w:qFormat/>
    <w:pPr>
      <w:spacing w:lineRule="exact" w:line="560"/>
      <w:ind w:left="0" w:right="0" w:firstLine="640"/>
      <w:jc w:val="both"/>
    </w:pPr>
    <w:rPr>
      <w:rFonts w:eastAsia="黑体" w:ascii="黑体"/>
      <w:sz w:val="32"/>
      <w:b w:val="1"/>
    </w:rPr>
  </w:style>
  <w:style w:type="paragraph" w:styleId="正文二级标题">
    <w:name w:val="正文二级标题"/>
    <w:aliases w:val="正文二级标题"/>
    <w:uiPriority w:val="1"/>
    <w:qFormat/>
    <w:pPr>
      <w:spacing w:lineRule="exact" w:line="560"/>
      <w:ind w:left="0" w:right="0" w:firstLine="680"/>
      <w:jc w:val="both"/>
    </w:pPr>
    <w:rPr>
      <w:rFonts w:eastAsia="黑体" w:ascii="黑体"/>
      <w:sz w:val="34"/>
      <w:b w:val="1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2026-09-19T21:24:13Z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iXpgY/voIi5rGYiG1WZRpqIrFTrqO67cJWDGmsxSxXA=","ProduceID":"doc_sgs:6792b691eaef4a65a8aa4308ec55f820","ReservedCode2":"iXpgY/voIi5rGYiG1WZRpqIrFTrqO67cJWDGmsxSxXA=","PropagateID":"doc_sgs:6792b691eaef4a65a8aa4308ec55f820","ContentProducer":"001191440101MA9Y9T4H7A00000"}</vt:lpwstr>
  </property>
</Properties>
</file>