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6596C4">
      <w:pP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  <w:t>题目：</w:t>
      </w:r>
    </w:p>
    <w:p w14:paraId="112854A6">
      <w:pPr>
        <w:rPr>
          <w:rFonts w:hint="default" w:ascii="Times New Roman" w:hAnsi="Times New Roman" w:eastAsia="宋体" w:cs="Times New Roman"/>
          <w:b w:val="0"/>
          <w:bCs w:val="0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bCs w:val="0"/>
          <w:sz w:val="21"/>
          <w:szCs w:val="21"/>
        </w:rPr>
        <w:t>森麒麟财务风险分析</w:t>
      </w:r>
    </w:p>
    <w:p w14:paraId="1A7DFD2D">
      <w:pPr>
        <w:rPr>
          <w:rFonts w:hint="default" w:ascii="Times New Roman" w:hAnsi="Times New Roman" w:eastAsia="宋体" w:cs="Times New Roman"/>
          <w:b w:val="0"/>
          <w:bCs w:val="0"/>
          <w:sz w:val="21"/>
          <w:szCs w:val="21"/>
          <w:lang w:val="en-US" w:eastAsia="zh-CN"/>
        </w:rPr>
      </w:pPr>
    </w:p>
    <w:p w14:paraId="6D47ABD5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666666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  <w:t>大纲：</w:t>
      </w:r>
    </w:p>
    <w:p w14:paraId="5341441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 绪论</w:t>
      </w:r>
    </w:p>
    <w:p w14:paraId="1A161AE8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1.1研究背景及意义</w:t>
      </w:r>
    </w:p>
    <w:p w14:paraId="1863782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1.1.1研究背景</w:t>
      </w:r>
    </w:p>
    <w:p w14:paraId="6ED829E4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1.1.2研究意义</w:t>
      </w:r>
    </w:p>
    <w:p w14:paraId="3A2475E5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1.2研究目的及方法</w:t>
      </w:r>
    </w:p>
    <w:p w14:paraId="0D20703B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1.2.1研究目的</w:t>
      </w:r>
    </w:p>
    <w:p w14:paraId="39BDA415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1.2.2研究方法</w:t>
      </w:r>
    </w:p>
    <w:p w14:paraId="12BE90F5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1.3国内外研究现状</w:t>
      </w:r>
    </w:p>
    <w:p w14:paraId="3A3BA263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1.3.1国内研究现状</w:t>
      </w:r>
    </w:p>
    <w:p w14:paraId="6FCCE8C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1.3.2国外研究现状</w:t>
      </w:r>
    </w:p>
    <w:p w14:paraId="4D9B550E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 相关概念及理论基础</w:t>
      </w:r>
    </w:p>
    <w:p w14:paraId="65998A8C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2.1相关概念</w:t>
      </w:r>
    </w:p>
    <w:p w14:paraId="7BD53014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2.1.1财务风险的概念</w:t>
      </w:r>
    </w:p>
    <w:p w14:paraId="362E05DC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2.1.2财务风险的类型</w:t>
      </w:r>
    </w:p>
    <w:p w14:paraId="368FFF40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2.2理论基础</w:t>
      </w:r>
    </w:p>
    <w:p w14:paraId="65E5B245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2.2.1风险管理理论</w:t>
      </w:r>
    </w:p>
    <w:p w14:paraId="31D8F350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2.2.2风险控制理论</w:t>
      </w:r>
    </w:p>
    <w:p w14:paraId="6D1414E9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 森麒麟轮胎公司财务现状</w:t>
      </w:r>
    </w:p>
    <w:p w14:paraId="7738B10B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3.1森麒麟轮胎公司概述</w:t>
      </w:r>
    </w:p>
    <w:p w14:paraId="2D2F0AE4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3.1.1公司基本情况与发展历程</w:t>
      </w:r>
    </w:p>
    <w:p w14:paraId="4D137210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3.1.2主营业务结构与盈利模式</w:t>
      </w:r>
    </w:p>
    <w:p w14:paraId="278E1F20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3.2流动性财务风险现状</w:t>
      </w:r>
    </w:p>
    <w:p w14:paraId="1D62919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3.2.1短期偿债能力现状</w:t>
      </w:r>
    </w:p>
    <w:p w14:paraId="2C49140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3.2.2流动资产变现能力现状</w:t>
      </w:r>
    </w:p>
    <w:p w14:paraId="06EF9709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3.3筹资结构风险现状</w:t>
      </w:r>
    </w:p>
    <w:p w14:paraId="40BA24E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3.3.1资产负债率现状</w:t>
      </w:r>
    </w:p>
    <w:p w14:paraId="16A198BD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3.3.2利息保障倍数现状</w:t>
      </w:r>
    </w:p>
    <w:p w14:paraId="44090421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3.4营运效率风险现状</w:t>
      </w:r>
    </w:p>
    <w:p w14:paraId="378435B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3.4.1存货周转现状</w:t>
      </w:r>
    </w:p>
    <w:p w14:paraId="1D03CC1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3.4.2应收账款周转现状</w:t>
      </w:r>
    </w:p>
    <w:p w14:paraId="0C6ABA79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3.5收益分配风险现状</w:t>
      </w:r>
    </w:p>
    <w:p w14:paraId="1F2F3541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3.5.1盈利水平现状</w:t>
      </w:r>
    </w:p>
    <w:p w14:paraId="22CEEF4F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3.5.2股利政策现状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</w:p>
    <w:p w14:paraId="3D8B9E1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 森麒麟轮胎公司财务风险识别</w:t>
      </w:r>
    </w:p>
    <w:p w14:paraId="31BA67C9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4.1流动性风险问题</w:t>
      </w:r>
    </w:p>
    <w:p w14:paraId="329F15EF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4.1.1短期偿债能力不足</w:t>
      </w:r>
    </w:p>
    <w:p w14:paraId="030FEB38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4.1.2流动资产变现压力</w:t>
      </w:r>
    </w:p>
    <w:p w14:paraId="01C91568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4.2筹资结构风险问题</w:t>
      </w:r>
    </w:p>
    <w:p w14:paraId="09CE50C1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4.2.1偿债压力与杠杆风险</w:t>
      </w:r>
    </w:p>
    <w:p w14:paraId="07D00978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4.2.2利息负担与盈利波动</w:t>
      </w:r>
    </w:p>
    <w:p w14:paraId="1A97DD7A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4.3营运效率风险问题</w:t>
      </w:r>
    </w:p>
    <w:p w14:paraId="7210653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4.3.1存货积压与减值风险</w:t>
      </w:r>
    </w:p>
    <w:p w14:paraId="5ED72F93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4.3.2应收账款回收风险</w:t>
      </w:r>
    </w:p>
    <w:p w14:paraId="68FF2D94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4.4收益分配风险问题</w:t>
      </w:r>
    </w:p>
    <w:p w14:paraId="0812A32F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4.4.1盈利波动与分红不稳</w:t>
      </w:r>
    </w:p>
    <w:p w14:paraId="286D16F8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4.4.2留存收益与再投入不足</w:t>
      </w:r>
    </w:p>
    <w:p w14:paraId="3D7C9119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 森麒麟轮胎公司财务风险放防控措施</w:t>
      </w:r>
    </w:p>
    <w:p w14:paraId="17EC5556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5.1流动性风险防控</w:t>
      </w:r>
    </w:p>
    <w:p w14:paraId="4F5A15D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5.1.1优化流动资产结构</w:t>
      </w:r>
    </w:p>
    <w:p w14:paraId="58C178D0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5.1.2合理安排短期负债</w:t>
      </w:r>
    </w:p>
    <w:p w14:paraId="6BA40BCC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5.2筹资结构风险防控</w:t>
      </w:r>
    </w:p>
    <w:p w14:paraId="2F3E6DE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5.2.1调整资本结构</w:t>
      </w:r>
    </w:p>
    <w:p w14:paraId="122DA1F3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5.2.2强化利息支出管理</w:t>
      </w:r>
    </w:p>
    <w:p w14:paraId="06EA676F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5.3营运效率风险防控</w:t>
      </w:r>
    </w:p>
    <w:p w14:paraId="3D57173B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5.3.1提升存货管理水平</w:t>
      </w:r>
    </w:p>
    <w:p w14:paraId="1514D4C9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5.3.2完善应收账款管理</w:t>
      </w:r>
    </w:p>
    <w:p w14:paraId="106B5F49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5.4收益分配风险防控</w:t>
      </w:r>
    </w:p>
    <w:p w14:paraId="06CAD448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5.4.1健全股利政策机制</w:t>
      </w:r>
    </w:p>
    <w:p w14:paraId="5A75630C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5.4.2协调分红与留存收益比例</w:t>
      </w:r>
    </w:p>
    <w:p w14:paraId="6B9B11CA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 总结</w:t>
      </w:r>
    </w:p>
    <w:p w14:paraId="13D3A4A2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666666"/>
          <w:spacing w:val="0"/>
          <w:sz w:val="21"/>
          <w:szCs w:val="21"/>
          <w:shd w:val="clear" w:fill="FFFFFF"/>
          <w:lang w:val="en-US" w:eastAsia="zh-CN"/>
        </w:rPr>
      </w:pPr>
    </w:p>
    <w:p w14:paraId="7D9ED3C4">
      <w:pP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  <w:t>参考文献：</w:t>
      </w:r>
    </w:p>
    <w:p w14:paraId="16CBC015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[1]赵梅伶. 数字化背景下的企业财务风险控制研究——以S物流公司为例 [J]. 商场现代化, 2025, (23): 183-185.</w:t>
      </w:r>
    </w:p>
    <w:p w14:paraId="39224972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[2]王丹. 大数据时代房地产企业财务风险防范策略分析 [J]. 现代营销, 2025, (34): 28-30.</w:t>
      </w:r>
    </w:p>
    <w:p w14:paraId="34CF3469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[3]陈文艺. 制造业企业财务管理策略分析 [J]. 现代营销, 2025, (34): 4-6.</w:t>
      </w:r>
    </w:p>
    <w:p w14:paraId="4B096A44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[4]刘倩倩. 生产制造企业财务风险管理策略分析 [J]. 现代营销, 2025, (34): 16-18.</w:t>
      </w:r>
    </w:p>
    <w:p w14:paraId="7B385CB3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[5]罗娅敏. 国有企业资本运作与财务风险防范的协调分析 [J]. 中国电子商情, 2025, 31 (22): 43-45.</w:t>
      </w:r>
    </w:p>
    <w:p w14:paraId="5F786379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[6]麦海燕,林育齐,陈军. 气候风险会影响企业高质量发展吗——基于上市公司财务报告文本分析的证据 [J]. 会计之友, 2025, (23): 89-97.</w:t>
      </w:r>
    </w:p>
    <w:p w14:paraId="44FB0975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[7]王亚林. 新时期国企财务内控建设与财务风险规避分析 [J]. 中国集体经济, 2025, (35): 185-188.</w:t>
      </w:r>
    </w:p>
    <w:p w14:paraId="218B87AF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[8]晋丽婷. 基于多维数据驱动的电力企业财务信息系统的分析与应用 [J]. 电子设计工程, 2025, 33 (22): 54-58.</w:t>
      </w:r>
    </w:p>
    <w:p w14:paraId="29A2797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[9]罗明珠. 数字化背景下地方国企财务数据泄露风险防范路径分析 [J]. 商业文化, 2025, (21): 113-115.</w:t>
      </w:r>
    </w:p>
    <w:p w14:paraId="75E9B6F8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]洪纪芸. 从风险控制视角分析基金公司如何加强财务管理 [J]. 中国乡镇企业会计, 2025, (21): 187-189.</w:t>
      </w:r>
    </w:p>
    <w:p w14:paraId="3056A11F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]方晓纯. 数字经济视域下基于业财融合的企业财务分析探索 [J]. 中国集体经济, 2025, (33): 157-160.</w:t>
      </w:r>
    </w:p>
    <w:p w14:paraId="2642D511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]吴明远,邓玉婷. 基于大数据分析的企业财务报账审核风险预警模型构建研究 [J]. 中国集体经济, 2025, (33): 169-172.</w:t>
      </w:r>
    </w:p>
    <w:p w14:paraId="2FAB0AC9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]房小蝶</w:t>
      </w:r>
      <w:bookmarkStart w:id="0" w:name="_GoBack"/>
      <w:bookmarkEnd w:id="0"/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. 万科集团财务风险研究——以被举牌为例 [J]. 河北企业, 2025, (11): 107-110.</w:t>
      </w:r>
    </w:p>
    <w:p w14:paraId="3E060C2B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 xml:space="preserve">]谢张帆. 银行信贷业务财务分析策略研究 [J]. 现代营销, 2025, (31): 82-84. </w:t>
      </w:r>
    </w:p>
    <w:p w14:paraId="75D3294B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]郭美娇. 以价值创造为导向的企业财务风险管理优化策略 [J]. 老字号品牌营销, 2025, (21): 43-45.</w:t>
      </w:r>
    </w:p>
    <w:p w14:paraId="48D85C88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 xml:space="preserve">]Stanciu B R M ,Lazea I G ,Bunget C O . Human Risk Mitigators: A Bibliometric and Thematic Analysis of Financial Advisors in Household Resilience [J]. Journal of Risk and Financial Management, 2025, 18 (10): 548-548. </w:t>
      </w:r>
    </w:p>
    <w:p w14:paraId="538AA93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]Trung T N . Analyzing Impacts of Green Material Financial Accounting on Climate Risk: A Panel Vector Autoregressive and Dynamic Panel Threshold Model [J]. Journal of International Commerce, Economics and Policy, 2025, (prepublish).</w:t>
      </w:r>
    </w:p>
    <w:p w14:paraId="208E2E6E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]Spulbar C ,Cinciulescu D ,Ene C C , et al. Altman Z-Score Modeling and Financial Risk analysis: An Empirical Study on Companies Listed on the Bucharest Stock Exchange [J]. Studies in Business and Economics, 2025, 20 (2): 314-340.</w:t>
      </w:r>
    </w:p>
    <w:p w14:paraId="0311CC31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]Medved D . Dynamic pricing and solvency of peer-to-peer insurance: a framework for transparency, risk sharing, and financial sustainability [J]. Risk Management, 2025, 27 (3): 11-11.</w:t>
      </w:r>
    </w:p>
    <w:p w14:paraId="38C00A13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666666"/>
          <w:spacing w:val="0"/>
          <w:sz w:val="21"/>
          <w:szCs w:val="21"/>
          <w:shd w:val="clear" w:fill="FFFFFF"/>
          <w:lang w:val="en-US" w:eastAsia="zh-CN"/>
        </w:rPr>
      </w:pPr>
    </w:p>
    <w:p w14:paraId="448EB498">
      <w:pP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  <w:t>参考数据：</w:t>
      </w:r>
    </w:p>
    <w:p w14:paraId="1DD8476E">
      <w:pPr>
        <w:rPr>
          <w:rFonts w:hint="default" w:ascii="Times New Roman" w:hAnsi="Times New Roman" w:eastAsia="宋体" w:cs="Times New Roman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auto"/>
          <w:sz w:val="21"/>
          <w:szCs w:val="21"/>
          <w:lang w:val="en-US" w:eastAsia="zh-CN"/>
        </w:rPr>
        <w:t>森麒麟财报数据统计表：</w:t>
      </w:r>
    </w:p>
    <w:p w14:paraId="73DEA0A2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指标分类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具体指标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24-12-31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23-12-31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22-12-31</w:t>
      </w:r>
    </w:p>
    <w:p w14:paraId="38E6BF5B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每股指标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基本每股收益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2.1100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1.4400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1.2300</w:t>
      </w:r>
    </w:p>
    <w:p w14:paraId="5D0728E3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扣非每股收益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2.0500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1.9200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1.3700</w:t>
      </w:r>
    </w:p>
    <w:p w14:paraId="079B7550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稀释每股收益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2.0400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1.3600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1.2000</w:t>
      </w:r>
    </w:p>
    <w:p w14:paraId="6F060505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每股净资产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12.7260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15.3895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11.2163</w:t>
      </w:r>
    </w:p>
    <w:p w14:paraId="288C68D6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每股公积金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4.4323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6.7841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3.6012</w:t>
      </w:r>
    </w:p>
    <w:p w14:paraId="1146B9F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每股未分配利润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6.4806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6.9822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6.0951</w:t>
      </w:r>
    </w:p>
    <w:p w14:paraId="7D62DDDE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每股经营现金流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1.8927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3.1811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1.5826</w:t>
      </w:r>
    </w:p>
    <w:p w14:paraId="79B7E547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----------------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--------------------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</w:t>
      </w:r>
    </w:p>
    <w:p w14:paraId="17645C18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成长能力指标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营业总收入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85.11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78.42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62.92 亿</w:t>
      </w:r>
    </w:p>
    <w:p w14:paraId="7ECE6A23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毛利润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27.95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19.51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12.90 亿</w:t>
      </w:r>
    </w:p>
    <w:p w14:paraId="23A66FE2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归属净利润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21.86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13.69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8.009 亿</w:t>
      </w:r>
    </w:p>
    <w:p w14:paraId="1A9E46B8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扣非净利润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21.26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13.05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8.882 亿</w:t>
      </w:r>
    </w:p>
    <w:p w14:paraId="21AC94CF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营业总收入同比增长 (%)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8.53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24.63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21.53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070812"/>
    <w:rsid w:val="03253F4C"/>
    <w:rsid w:val="11072A94"/>
    <w:rsid w:val="1B8D2B5C"/>
    <w:rsid w:val="26FE1DEC"/>
    <w:rsid w:val="2F5E12EF"/>
    <w:rsid w:val="30F15E99"/>
    <w:rsid w:val="35D07049"/>
    <w:rsid w:val="371F3DE4"/>
    <w:rsid w:val="3D9B1CEB"/>
    <w:rsid w:val="42FB0048"/>
    <w:rsid w:val="53C633E8"/>
    <w:rsid w:val="59F34F31"/>
    <w:rsid w:val="5D916D7B"/>
    <w:rsid w:val="61070812"/>
    <w:rsid w:val="63147CC6"/>
    <w:rsid w:val="63AD5C13"/>
    <w:rsid w:val="66B3558D"/>
    <w:rsid w:val="6A0C16F7"/>
    <w:rsid w:val="6B8359E9"/>
    <w:rsid w:val="6CF1178C"/>
    <w:rsid w:val="6D82064E"/>
    <w:rsid w:val="719426FE"/>
    <w:rsid w:val="73E610C9"/>
    <w:rsid w:val="758A3D23"/>
    <w:rsid w:val="796D439A"/>
    <w:rsid w:val="7CB46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1420</Words>
  <Characters>2758</Characters>
  <Lines>0</Lines>
  <Paragraphs>0</Paragraphs>
  <TotalTime>0</TotalTime>
  <ScaleCrop>false</ScaleCrop>
  <LinksUpToDate>false</LinksUpToDate>
  <CharactersWithSpaces>3058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2025-12-17T07:47:00Z</dcterms:created>
  <dc:creator>三坛海会大神</dc:creator>
  <cp:lastModifiedBy>三坛海会大神</cp:lastModifiedBy>
  <dcterms:modified xsi:type="dcterms:W3CDTF">2025-12-24T02:16:45Z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4C8E0D24407648FE8E14D1F24ABCE71F_13</vt:lpwstr>
  </property>
  <property fmtid="{D5CDD505-2E9C-101B-9397-08002B2CF9AE}" pid="4" name="KSOTemplateDocerSaveRecord">
    <vt:lpwstr>eyJoZGlkIjoiOWM3OGRmOGE4Mzk0MTc0ZmQ2M2MwNTI5MzBmZjk5ZjgiLCJ1c2VySWQiOiI3MTY5OTYzNzYifQ==</vt:lpwstr>
  </property>
</Properties>
</file>