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题目：</w:t>
      </w:r>
    </w:p>
    <w:p w14:paraId="112854A6">
      <w:pPr>
        <w:rPr>
          <w:rFonts w:hint="default" w:ascii="Times New Roman" w:hAnsi="Times New Roman" w:eastAsia="宋体" w:cs="Times New Roman"/>
          <w:b w:val="0"/>
          <w:bCs w:val="0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bCs w:val="0"/>
          <w:sz w:val="21"/>
          <w:szCs w:val="21"/>
        </w:rPr>
        <w:t>森麒麟财务风险分析</w:t>
      </w:r>
    </w:p>
    <w:p w14:paraId="1A7DFD2D">
      <w:pPr>
        <w:rPr>
          <w:rFonts w:hint="default" w:ascii="Times New Roman" w:hAnsi="Times New Roman" w:eastAsia="宋体" w:cs="Times New Roman"/>
          <w:b w:val="0"/>
          <w:bCs w:val="0"/>
          <w:sz w:val="21"/>
          <w:szCs w:val="21"/>
          <w:lang w:val="en-US" w:eastAsia="zh-CN"/>
        </w:rPr>
      </w:pPr>
    </w:p>
    <w:p w14:paraId="6D47ABD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大纲：</w:t>
      </w:r>
    </w:p>
    <w:p w14:paraId="5341441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 绪论</w:t>
      </w:r>
    </w:p>
    <w:p w14:paraId="1A161AE8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1.1研究背景及意义</w:t>
      </w:r>
    </w:p>
    <w:p w14:paraId="1863782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1.1.1研究背景</w:t>
      </w:r>
    </w:p>
    <w:p w14:paraId="6ED829E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1.1.2研究意义</w:t>
      </w:r>
    </w:p>
    <w:p w14:paraId="3A2475E5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1.2研究目的及方法</w:t>
      </w:r>
    </w:p>
    <w:p w14:paraId="0D20703B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1.2.1研究目的</w:t>
      </w:r>
    </w:p>
    <w:p w14:paraId="39BDA415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1.2.2研究方法</w:t>
      </w:r>
    </w:p>
    <w:p w14:paraId="12BE90F5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1.3国内外研究现状</w:t>
      </w:r>
    </w:p>
    <w:p w14:paraId="3A3BA26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1.3.1国内研究现状</w:t>
      </w:r>
    </w:p>
    <w:p w14:paraId="6FCCE8C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1.3.2国外研究现状</w:t>
      </w:r>
    </w:p>
    <w:p w14:paraId="4D9B550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 相关概念及理论基础</w:t>
      </w:r>
    </w:p>
    <w:p w14:paraId="65998A8C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2.1相关概念</w:t>
      </w:r>
    </w:p>
    <w:p w14:paraId="7BD5301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2.1.1财务风险的概念</w:t>
      </w:r>
    </w:p>
    <w:p w14:paraId="362E05DC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2.1.2财务风险的类型</w:t>
      </w:r>
    </w:p>
    <w:p w14:paraId="368FFF40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2.2理论基础</w:t>
      </w:r>
    </w:p>
    <w:p w14:paraId="65E5B245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2.2.1风险管理理论</w:t>
      </w:r>
    </w:p>
    <w:p w14:paraId="31D8F35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2.2.2风险控制理论</w:t>
      </w:r>
    </w:p>
    <w:p w14:paraId="6D1414E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 森麒麟轮胎公司财务现状</w:t>
      </w:r>
    </w:p>
    <w:p w14:paraId="7738B10B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3.1森麒麟轮胎公司概述</w:t>
      </w:r>
    </w:p>
    <w:p w14:paraId="2D2F0AE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3.1.1公司基本情况与发展历程</w:t>
      </w:r>
    </w:p>
    <w:p w14:paraId="4D13721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3.1.2主营业务结构与盈利模式</w:t>
      </w:r>
    </w:p>
    <w:p w14:paraId="278E1F20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3.2流动性财务风险现状</w:t>
      </w:r>
    </w:p>
    <w:p w14:paraId="1D62919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3.2.1短期偿债能力现状</w:t>
      </w:r>
    </w:p>
    <w:p w14:paraId="2C49140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3.2.2流动资产变现能力现状</w:t>
      </w:r>
    </w:p>
    <w:p w14:paraId="06EF970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3.3筹资结构风险现状</w:t>
      </w:r>
    </w:p>
    <w:p w14:paraId="40BA24E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3.3.1资产负债率现状</w:t>
      </w:r>
    </w:p>
    <w:p w14:paraId="16A198BD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3.3.2利息保障倍数现状</w:t>
      </w:r>
    </w:p>
    <w:p w14:paraId="44090421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3.4营运效率风险现状</w:t>
      </w:r>
    </w:p>
    <w:p w14:paraId="378435B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3.4.1存货周转现状</w:t>
      </w:r>
    </w:p>
    <w:p w14:paraId="1D03CC1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3.4.2应收账款周转现状</w:t>
      </w:r>
    </w:p>
    <w:p w14:paraId="0C6ABA7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3.5收益分配风险现状</w:t>
      </w:r>
    </w:p>
    <w:p w14:paraId="1F2F3541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3.5.1盈利水平现状</w:t>
      </w:r>
    </w:p>
    <w:p w14:paraId="22CEEF4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3.5.2股利政策现状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</w:p>
    <w:p w14:paraId="3D8B9E1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 森麒麟轮胎公司财务风险识别</w:t>
      </w:r>
    </w:p>
    <w:p w14:paraId="31BA67C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4.1流动性风险问题</w:t>
      </w:r>
    </w:p>
    <w:p w14:paraId="329F15E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4.1.1短期偿债能力不足</w:t>
      </w:r>
    </w:p>
    <w:p w14:paraId="030FEB3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4.1.2流动资产变现压力</w:t>
      </w:r>
    </w:p>
    <w:p w14:paraId="01C91568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4.2筹资结构风险问题</w:t>
      </w:r>
    </w:p>
    <w:p w14:paraId="09CE50C1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4.2.1偿债压力与杠杆风险</w:t>
      </w:r>
    </w:p>
    <w:p w14:paraId="07D0097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4.2.2利息负担与盈利波动</w:t>
      </w:r>
    </w:p>
    <w:p w14:paraId="1A97DD7A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4.3营运效率风险问题</w:t>
      </w:r>
    </w:p>
    <w:p w14:paraId="7210653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4.3.1存货积压与减值风险</w:t>
      </w:r>
    </w:p>
    <w:p w14:paraId="5ED72F9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4.3.2应收账款回收风险</w:t>
      </w:r>
    </w:p>
    <w:p w14:paraId="68FF2D94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4.4收益分配风险问题</w:t>
      </w:r>
    </w:p>
    <w:p w14:paraId="0812A32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4.4.1盈利波动与分红不稳</w:t>
      </w:r>
    </w:p>
    <w:p w14:paraId="286D16F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4.4.2留存收益与再投入不足</w:t>
      </w:r>
    </w:p>
    <w:p w14:paraId="3D7C911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 森麒麟轮胎公司财务风险放防控措施</w:t>
      </w:r>
    </w:p>
    <w:p w14:paraId="17EC5556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5.1流动性风险防控</w:t>
      </w:r>
    </w:p>
    <w:p w14:paraId="4F5A15D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5.1.1优化流动资产结构</w:t>
      </w:r>
    </w:p>
    <w:p w14:paraId="58C178D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5.1.2合理安排短期负债</w:t>
      </w:r>
    </w:p>
    <w:p w14:paraId="6BA40BCC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5.2筹资结构风险防控</w:t>
      </w:r>
    </w:p>
    <w:p w14:paraId="2F3E6DE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5.2.1调整资本结构</w:t>
      </w:r>
    </w:p>
    <w:p w14:paraId="122DA1F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5.2.2强化利息支出管理</w:t>
      </w:r>
    </w:p>
    <w:p w14:paraId="06EA676F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5.3营运效率风险防控</w:t>
      </w:r>
    </w:p>
    <w:p w14:paraId="3D57173B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5.3.1提升存货管理水平</w:t>
      </w:r>
    </w:p>
    <w:p w14:paraId="1514D4C9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5.3.2完善应收账款管理</w:t>
      </w:r>
    </w:p>
    <w:p w14:paraId="106B5F4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5.4收益分配风险防控</w:t>
      </w:r>
    </w:p>
    <w:p w14:paraId="06CAD44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5.4.1健全股利政策机制</w:t>
      </w:r>
    </w:p>
    <w:p w14:paraId="5A75630C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5.4.2协调分红与留存收益比例</w:t>
      </w:r>
    </w:p>
    <w:p w14:paraId="6B9B11CA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 总结</w:t>
      </w:r>
    </w:p>
    <w:p w14:paraId="13D3A4A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</w:p>
    <w:p w14:paraId="7D9ED3C4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参考文献：</w:t>
      </w:r>
    </w:p>
    <w:p w14:paraId="16CBC01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[1]赵梅伶. 数字化背景下的企业财务风险控制研究——以S物流公司为例 [J]. 商场现代化, 2025, (23): 183-185.</w:t>
      </w:r>
    </w:p>
    <w:p w14:paraId="3922497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[2]王丹. 大数据时代房地产企业财务风险防范策略分析 [J]. 现代营销, 2025, (34): 28-30.</w:t>
      </w:r>
    </w:p>
    <w:p w14:paraId="34CF346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[3]陈文艺. 制造业企业财务管理策略分析 [J]. 现代营销, 2025, (34): 4-6.</w:t>
      </w:r>
    </w:p>
    <w:p w14:paraId="4B096A44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[4]刘倩倩. 生产制造企业财务风险管理策略分析 [J]. 现代营销, 2025, (34): 16-18.</w:t>
      </w:r>
    </w:p>
    <w:p w14:paraId="7B385CB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[5]罗娅敏. 国有企业资本运作与财务风险防范的协调分析 [J]. 中国电子商情, 2025, 31 (22): 43-45.</w:t>
      </w:r>
    </w:p>
    <w:p w14:paraId="5F78637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[6]麦海燕,林育齐,陈军. 气候风险会影响企业高质量发展吗——基于上市公司财务报告文本分析的证据 [J]. 会计之友, 2025, (23): 89-97.</w:t>
      </w:r>
    </w:p>
    <w:p w14:paraId="44FB097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[7]王亚林. 新时期国企财务内控建设与财务风险规避分析 [J]. 中国集体经济, 2025, (35): 185-188.</w:t>
      </w:r>
    </w:p>
    <w:p w14:paraId="218B87A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[8]晋丽婷. 基于多维数据驱动的电力企业财务信息系统的分析与应用 [J]. 电子设计工程, 2025, 33 (22): 54-58.</w:t>
      </w:r>
    </w:p>
    <w:p w14:paraId="29A2797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[9]罗明珠. 数字化背景下地方国企财务数据泄露风险防范路径分析 [J]. 商业文化, 2025, (21): 113-115.</w:t>
      </w:r>
    </w:p>
    <w:p w14:paraId="75E9B6F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]洪纪芸. 从风险控制视角分析基金公司如何加强财务管理 [J]. 中国乡镇企业会计, 2025, (21): 187-189.</w:t>
      </w:r>
    </w:p>
    <w:p w14:paraId="3056A11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]方晓纯. 数字经济视域下基于业财融合的企业财务分析探索 [J]. 中国集体经济, 2025, (33): 157-160.</w:t>
      </w:r>
    </w:p>
    <w:p w14:paraId="2642D51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]吴明远,邓玉婷. 基于大数据分析的企业财务报账审核风险预警模型构建研究 [J]. 中国集体经济, 2025, (33): 169-172.</w:t>
      </w:r>
    </w:p>
    <w:p w14:paraId="2FAB0AC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]房小蝶. 万科集团财务风险研究——以被举牌为例 [J]. 河北企业, 2025, (11): 107-110.</w:t>
      </w:r>
    </w:p>
    <w:p w14:paraId="3E060C2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 xml:space="preserve">]谢张帆. 银行信贷业务财务分析策略研究 [J]. 现代营销, 2025, (31): 82-84. </w:t>
      </w:r>
    </w:p>
    <w:p w14:paraId="75D3294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]郭美娇. 以价值创造为导向的企业财务风险管理优化策略 [J]. 老字号品牌营销, 2025, (21): 43-45.</w:t>
      </w:r>
    </w:p>
    <w:p w14:paraId="48D85C8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 xml:space="preserve">]Stanciu B R M ,Lazea I G ,Bunget C O . Human Risk Mitigators: A Bibliometric and Thematic Analysis of Financial Advisors in Household Resilience [J]. Journal of Risk and Financial Management, 2025, 18 (10): 548-548. </w:t>
      </w:r>
    </w:p>
    <w:p w14:paraId="538AA93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]Trung T N . Analyzing Impacts of Green Material Financial Accounting on Climate Risk: A Panel Vector Autoregressive and Dynamic Panel Threshold Model [J]. Journal of International Commerce, Economics and Policy, 2025, (prepublish).</w:t>
      </w:r>
    </w:p>
    <w:p w14:paraId="208E2E6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]Spulbar C ,Cinciulescu D ,Ene C C , et al. Altman Z-Score Modeling and Financial Risk analysis: An Empirical Study on Companies Listed on the Bucharest Stock Exchange [J]. Studies in Business and Economics, 2025, 20 (2): 314-340.</w:t>
      </w:r>
    </w:p>
    <w:p w14:paraId="0311CC3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]Medved D . Dynamic pricing and solvency of peer-to-peer insurance: a framework for transparency, risk sharing, and financial sustainability [J]. Risk Management, 2025, 27 (3): 11-11.</w:t>
      </w:r>
    </w:p>
    <w:p w14:paraId="38C00A1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</w:p>
    <w:p w14:paraId="448EB498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参考数据：</w:t>
      </w:r>
    </w:p>
    <w:p w14:paraId="1DD8476E">
      <w:pPr>
        <w:rPr>
          <w:rFonts w:hint="default" w:ascii="Times New Roman" w:hAnsi="Times New Roman" w:eastAsia="宋体" w:cs="Times New Roman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1"/>
          <w:szCs w:val="21"/>
          <w:lang w:val="en-US" w:eastAsia="zh-CN"/>
        </w:rPr>
        <w:t>森麒麟财报数据统计表：</w:t>
      </w:r>
    </w:p>
    <w:p w14:paraId="73DEA0A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指标分类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具体指标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24-12-31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23-12-31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22-12-31</w:t>
      </w:r>
    </w:p>
    <w:p w14:paraId="38E6BF5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基本每股收益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2.1100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1.4400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1.2300</w:t>
      </w:r>
    </w:p>
    <w:p w14:paraId="5D0728E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扣非每股收益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2.0500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1.9200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1.3700</w:t>
      </w:r>
    </w:p>
    <w:p w14:paraId="079B7550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稀释每股收益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2.0400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1.3600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1.2000</w:t>
      </w:r>
    </w:p>
    <w:p w14:paraId="6F06050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每股净资产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12.7260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15.3895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11.2163</w:t>
      </w:r>
    </w:p>
    <w:p w14:paraId="288C68D6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每股公积金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4.4323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6.7841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3.6012</w:t>
      </w:r>
    </w:p>
    <w:p w14:paraId="1146B9F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每股未分配利润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6.4806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6.9822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6.0951</w:t>
      </w:r>
    </w:p>
    <w:p w14:paraId="7D62DDD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每股经营现金流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1.8927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3.1811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1.5826</w:t>
      </w:r>
    </w:p>
    <w:p w14:paraId="79B7E547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</w:p>
    <w:p w14:paraId="17645C1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成长能力指标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营业总收入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85.11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78.42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62.92 亿</w:t>
      </w:r>
    </w:p>
    <w:p w14:paraId="7ECE6A2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毛利润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27.95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19.51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12.90 亿</w:t>
      </w:r>
    </w:p>
    <w:p w14:paraId="23A66FE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归属净利润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21.86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13.69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8.009 亿</w:t>
      </w:r>
    </w:p>
    <w:p w14:paraId="1A9E46B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扣非净利润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21.26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13.05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8.882 亿</w:t>
      </w:r>
    </w:p>
    <w:p w14:paraId="21AC94C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营业总收入同比增长 (%)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8.53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24.63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21.53</w:t>
      </w:r>
    </w:p>
    <w:p w14:paraId="172BC3C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</w:p>
    <w:p w14:paraId="7B6623B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</w:p>
    <w:p w14:paraId="1A37CBC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</w:p>
    <w:p w14:paraId="28C4377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</w:p>
    <w:p w14:paraId="1260F106">
      <w:pPr>
        <w:pBdr>
          <w:bottom w:val="single" w:color="auto" w:sz="4" w:space="0"/>
        </w:pBd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</w:p>
    <w:p w14:paraId="6FB6EF6D">
      <w:pP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题目：人工智能背景下的教学行为：分类、效能与新课标下的转变</w:t>
      </w:r>
    </w:p>
    <w:p w14:paraId="2CAE15E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</w:p>
    <w:p w14:paraId="101409BD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1.引言</w:t>
      </w:r>
    </w:p>
    <w:p w14:paraId="60D37634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2.人工智能背景下的教学行为</w:t>
      </w:r>
    </w:p>
    <w:p w14:paraId="3C8C970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2.1教学行为概述</w:t>
      </w:r>
    </w:p>
    <w:p w14:paraId="59DED4B4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2.2教学行为的分类</w:t>
      </w:r>
    </w:p>
    <w:p w14:paraId="24597E0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2.3有效教学行为</w:t>
      </w:r>
    </w:p>
    <w:p w14:paraId="56FD3FE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2.4新课程理念下课堂教学行为的转变</w:t>
      </w:r>
    </w:p>
    <w:p w14:paraId="40843420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3.总结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11072A94"/>
    <w:rsid w:val="1B8D2B5C"/>
    <w:rsid w:val="26FE1DEC"/>
    <w:rsid w:val="2F5E12EF"/>
    <w:rsid w:val="30F15E99"/>
    <w:rsid w:val="35D07049"/>
    <w:rsid w:val="371F3DE4"/>
    <w:rsid w:val="3D9B1CEB"/>
    <w:rsid w:val="41CF4659"/>
    <w:rsid w:val="42FB0048"/>
    <w:rsid w:val="53C633E8"/>
    <w:rsid w:val="59F34F31"/>
    <w:rsid w:val="5D916D7B"/>
    <w:rsid w:val="61070812"/>
    <w:rsid w:val="63147CC6"/>
    <w:rsid w:val="63AD5C13"/>
    <w:rsid w:val="66B3558D"/>
    <w:rsid w:val="6A0C16F7"/>
    <w:rsid w:val="6B8359E9"/>
    <w:rsid w:val="6CF1178C"/>
    <w:rsid w:val="6D82064E"/>
    <w:rsid w:val="719426FE"/>
    <w:rsid w:val="73E610C9"/>
    <w:rsid w:val="758A3D23"/>
    <w:rsid w:val="796D439A"/>
    <w:rsid w:val="7CB4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1420</Words>
  <Characters>2758</Characters>
  <Lines>0</Lines>
  <Paragraphs>0</Paragraphs>
  <TotalTime>164</TotalTime>
  <ScaleCrop>false</ScaleCrop>
  <LinksUpToDate>false</LinksUpToDate>
  <CharactersWithSpaces>3058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2025-12-24T05:01:34Z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