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6596C4">
      <w:pPr>
        <w:rPr>
          <w:rFonts w:hint="default" w:ascii="Times New Roman" w:hAnsi="Times New Roman" w:eastAsia="宋体" w:cs="Times New Roman"/>
          <w:b w:val="0"/>
          <w:bCs w:val="0"/>
          <w:color w:val="0000FF"/>
          <w:sz w:val="21"/>
          <w:szCs w:val="21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color w:val="0000FF"/>
          <w:sz w:val="21"/>
          <w:szCs w:val="21"/>
          <w:lang w:val="en-US" w:eastAsia="zh-CN"/>
        </w:rPr>
        <w:t>题目：</w:t>
      </w:r>
    </w:p>
    <w:p w14:paraId="112854A6">
      <w:pPr>
        <w:rPr>
          <w:rFonts w:hint="default" w:ascii="Times New Roman" w:hAnsi="Times New Roman" w:eastAsia="宋体" w:cs="Times New Roman"/>
          <w:b w:val="0"/>
          <w:bCs w:val="0"/>
          <w:sz w:val="21"/>
          <w:szCs w:val="21"/>
        </w:rPr>
      </w:pPr>
      <w:r>
        <w:rPr>
          <w:rFonts w:hint="default" w:ascii="Times New Roman" w:hAnsi="Times New Roman" w:eastAsia="宋体" w:cs="Times New Roman"/>
          <w:b w:val="0"/>
          <w:bCs w:val="0"/>
          <w:sz w:val="21"/>
          <w:szCs w:val="21"/>
        </w:rPr>
        <w:t>森麒麟财务风险分析</w:t>
      </w:r>
    </w:p>
    <w:p w14:paraId="1A7DFD2D">
      <w:pPr>
        <w:rPr>
          <w:rFonts w:hint="default" w:ascii="Times New Roman" w:hAnsi="Times New Roman" w:eastAsia="宋体" w:cs="Times New Roman"/>
          <w:b w:val="0"/>
          <w:bCs w:val="0"/>
          <w:sz w:val="21"/>
          <w:szCs w:val="21"/>
          <w:lang w:val="en-US" w:eastAsia="zh-CN"/>
        </w:rPr>
      </w:pPr>
    </w:p>
    <w:p w14:paraId="6D47ABD5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666666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color w:val="0000FF"/>
          <w:sz w:val="21"/>
          <w:szCs w:val="21"/>
          <w:lang w:val="en-US" w:eastAsia="zh-CN"/>
        </w:rPr>
        <w:t>大纲：</w:t>
      </w:r>
    </w:p>
    <w:p w14:paraId="5341441C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1 绪论</w:t>
      </w:r>
    </w:p>
    <w:p w14:paraId="1A161AE8">
      <w:pPr>
        <w:ind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1.1研究背景及意义</w:t>
      </w:r>
    </w:p>
    <w:p w14:paraId="18637822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1.1.1研究背景</w:t>
      </w:r>
    </w:p>
    <w:p w14:paraId="6ED829E4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1.1.2研究意义</w:t>
      </w:r>
    </w:p>
    <w:p w14:paraId="3A2475E5">
      <w:pPr>
        <w:ind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1.2研究目的及方法</w:t>
      </w:r>
    </w:p>
    <w:p w14:paraId="0D20703B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1.2.1研究目的</w:t>
      </w:r>
    </w:p>
    <w:p w14:paraId="39BDA415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1.2.2研究方法</w:t>
      </w:r>
    </w:p>
    <w:p w14:paraId="12BE90F5">
      <w:pPr>
        <w:ind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1.3国内外研究现状</w:t>
      </w:r>
    </w:p>
    <w:p w14:paraId="3A3BA263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1.3.1国内研究现状</w:t>
      </w:r>
    </w:p>
    <w:p w14:paraId="6FCCE8CA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1.3.2国外研究现状</w:t>
      </w:r>
    </w:p>
    <w:p w14:paraId="4D9B550E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2 相关概念及理论基础</w:t>
      </w:r>
    </w:p>
    <w:p w14:paraId="65998A8C">
      <w:pPr>
        <w:ind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2.1相关概念</w:t>
      </w:r>
    </w:p>
    <w:p w14:paraId="7BD53014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2.1.1财务风险的概念</w:t>
      </w:r>
    </w:p>
    <w:p w14:paraId="362E05DC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2.1.2财务风险的类型</w:t>
      </w:r>
    </w:p>
    <w:p w14:paraId="368FFF40">
      <w:pPr>
        <w:ind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2.2理论基础</w:t>
      </w:r>
    </w:p>
    <w:p w14:paraId="65E5B245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2.2.1风险管理理论</w:t>
      </w:r>
    </w:p>
    <w:p w14:paraId="31D8F350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2.2.2风险控制理论</w:t>
      </w:r>
    </w:p>
    <w:p w14:paraId="6D1414E9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3 森麒麟轮胎公司财务现状</w:t>
      </w:r>
    </w:p>
    <w:p w14:paraId="7738B10B">
      <w:pPr>
        <w:ind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3.1森麒麟轮胎公司概述</w:t>
      </w:r>
    </w:p>
    <w:p w14:paraId="2D2F0AE4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3.1.1公司基本情况与发展历程</w:t>
      </w:r>
    </w:p>
    <w:p w14:paraId="4D137210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3.1.2主营业务结构与盈利模式</w:t>
      </w:r>
    </w:p>
    <w:p w14:paraId="278E1F20">
      <w:pPr>
        <w:ind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3.2流动性财务风险现状</w:t>
      </w:r>
    </w:p>
    <w:p w14:paraId="1D629192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3.2.1短期偿债能力现状</w:t>
      </w:r>
    </w:p>
    <w:p w14:paraId="2C491402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3.2.2流动资产变现能力现状</w:t>
      </w:r>
    </w:p>
    <w:p w14:paraId="06EF9709">
      <w:pPr>
        <w:ind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3.3筹资结构风险现状</w:t>
      </w:r>
    </w:p>
    <w:p w14:paraId="40BA24EA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3.3.1资产负债率现状</w:t>
      </w:r>
    </w:p>
    <w:p w14:paraId="16A198BD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3.3.2利息保障倍数现状</w:t>
      </w:r>
    </w:p>
    <w:p w14:paraId="44090421">
      <w:pPr>
        <w:ind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3.4营运效率风险现状</w:t>
      </w:r>
    </w:p>
    <w:p w14:paraId="378435BA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3.4.1存货周转现状</w:t>
      </w:r>
    </w:p>
    <w:p w14:paraId="1D03CC12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3.4.2应收账款周转现状</w:t>
      </w:r>
    </w:p>
    <w:p w14:paraId="0C6ABA79">
      <w:pPr>
        <w:ind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3.5收益分配风险现状</w:t>
      </w:r>
    </w:p>
    <w:p w14:paraId="1F2F3541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3.5.1盈利水平现状</w:t>
      </w:r>
    </w:p>
    <w:p w14:paraId="22CEEF4F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3.5.2股利政策现状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</w:p>
    <w:p w14:paraId="3D8B9E1C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4 森麒麟轮胎公司财务风险识别</w:t>
      </w:r>
    </w:p>
    <w:p w14:paraId="31BA67C9">
      <w:pPr>
        <w:ind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4.1流动性风险问题</w:t>
      </w:r>
    </w:p>
    <w:p w14:paraId="329F15EF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4.1.1短期偿债能力不足</w:t>
      </w:r>
    </w:p>
    <w:p w14:paraId="030FEB38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4.1.2流动资产变现压力</w:t>
      </w:r>
    </w:p>
    <w:p w14:paraId="01C91568">
      <w:pPr>
        <w:ind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4.2筹资结构风险问题</w:t>
      </w:r>
    </w:p>
    <w:p w14:paraId="09CE50C1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4.2.1偿债压力与杠杆风险</w:t>
      </w:r>
    </w:p>
    <w:p w14:paraId="07D00978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4.2.2利息负担与盈利波动</w:t>
      </w:r>
    </w:p>
    <w:p w14:paraId="1A97DD7A">
      <w:pPr>
        <w:ind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4.3营运效率风险问题</w:t>
      </w:r>
    </w:p>
    <w:p w14:paraId="7210653A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4.3.1存货积压与减值风险</w:t>
      </w:r>
    </w:p>
    <w:p w14:paraId="5ED72F93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4.3.2应收账款回收风险</w:t>
      </w:r>
    </w:p>
    <w:p w14:paraId="68FF2D94">
      <w:pPr>
        <w:ind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4.4收益分配风险问题</w:t>
      </w:r>
    </w:p>
    <w:p w14:paraId="0812A32F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4.4.1盈利波动与分红不稳</w:t>
      </w:r>
    </w:p>
    <w:p w14:paraId="286D16F8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4.4.2留存收益与再投入不足</w:t>
      </w:r>
    </w:p>
    <w:p w14:paraId="3D7C9119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5 森麒麟轮胎公司财务风险放防控措施</w:t>
      </w:r>
    </w:p>
    <w:p w14:paraId="17EC5556">
      <w:pPr>
        <w:ind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5.1流动性风险防控</w:t>
      </w:r>
    </w:p>
    <w:p w14:paraId="4F5A15D2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5.1.1优化流动资产结构</w:t>
      </w:r>
    </w:p>
    <w:p w14:paraId="58C178D0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5.1.2合理安排短期负债</w:t>
      </w:r>
    </w:p>
    <w:p w14:paraId="6BA40BCC">
      <w:pPr>
        <w:ind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5.2筹资结构风险防控</w:t>
      </w:r>
    </w:p>
    <w:p w14:paraId="2F3E6DEA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5.2.1调整资本结构</w:t>
      </w:r>
    </w:p>
    <w:p w14:paraId="122DA1F3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5.2.2强化利息支出管理</w:t>
      </w:r>
    </w:p>
    <w:p w14:paraId="06EA676F">
      <w:pPr>
        <w:ind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5.3营运效率风险防控</w:t>
      </w:r>
    </w:p>
    <w:p w14:paraId="3D57173B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5.3.1提升存货管理水平</w:t>
      </w:r>
    </w:p>
    <w:p w14:paraId="1514D4C9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5.3.2完善应收账款管理</w:t>
      </w:r>
    </w:p>
    <w:p w14:paraId="106B5F49">
      <w:pPr>
        <w:ind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5.4收益分配风险防控</w:t>
      </w:r>
    </w:p>
    <w:p w14:paraId="06CAD448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5.4.1健全股利政策机制</w:t>
      </w:r>
    </w:p>
    <w:p w14:paraId="5A75630C">
      <w:pPr>
        <w:ind w:left="420" w:leftChars="0" w:firstLine="420" w:firstLineChars="0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5.4.2协调分红与留存收益比例</w:t>
      </w:r>
    </w:p>
    <w:p w14:paraId="6B9B11CA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6 总结</w:t>
      </w:r>
    </w:p>
    <w:p w14:paraId="13D3A4A2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666666"/>
          <w:spacing w:val="0"/>
          <w:sz w:val="21"/>
          <w:szCs w:val="21"/>
          <w:shd w:val="clear" w:fill="FFFFFF"/>
          <w:lang w:val="en-US" w:eastAsia="zh-CN"/>
        </w:rPr>
      </w:pPr>
    </w:p>
    <w:p w14:paraId="7D9ED3C4">
      <w:pPr>
        <w:rPr>
          <w:rFonts w:hint="default" w:ascii="Times New Roman" w:hAnsi="Times New Roman" w:eastAsia="宋体" w:cs="Times New Roman"/>
          <w:b w:val="0"/>
          <w:bCs w:val="0"/>
          <w:color w:val="0000FF"/>
          <w:sz w:val="21"/>
          <w:szCs w:val="21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color w:val="0000FF"/>
          <w:sz w:val="21"/>
          <w:szCs w:val="21"/>
          <w:lang w:val="en-US" w:eastAsia="zh-CN"/>
        </w:rPr>
        <w:t>参考文献：</w:t>
      </w:r>
    </w:p>
    <w:p w14:paraId="16CBC015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bookmarkStart w:id="0" w:name="_GoBack"/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[1]赵梅伶. 数字化背景下的企业财务风险控制研究——以S物流公司为例 [J]. 商场现代化, 2025, (23): 183-185.</w:t>
      </w:r>
    </w:p>
    <w:p w14:paraId="39224972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[2]王丹. 大数据时代房地产企业财务风险防范策略分析 [J]. 现代营销, 2025, (34): 28-30.</w:t>
      </w:r>
    </w:p>
    <w:p w14:paraId="34CF3469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[3]陈文艺. 制造业企业财务管理策略分析 [J]. 现代营销, 2025, (34): 4-6.</w:t>
      </w:r>
    </w:p>
    <w:p w14:paraId="4B096A44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[4]刘倩倩. 生产制造企业财务风险管理策略分析 [J]. 现代营销, 2025, (34): 16-18.</w:t>
      </w:r>
    </w:p>
    <w:p w14:paraId="7B385CB3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[5]罗娅敏. 国有企业资本运作与财务风险防范的协调分析 [J]. 中国电子商情, 2025, 31 (22): 43-45.</w:t>
      </w:r>
    </w:p>
    <w:p w14:paraId="5F786379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[6]麦海燕,林育齐,陈军. 气候风险会影响企业高质量发展吗——基于上市公司财务报告文本分析的证据 [J]. 会计之友, 2025, (23): 89-97.</w:t>
      </w:r>
    </w:p>
    <w:p w14:paraId="44FB0975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[7]王亚林. 新时期国企财务内控建设与财务风险规避分析 [J]. 中国集体经济, 2025, (35): 185-188.</w:t>
      </w:r>
    </w:p>
    <w:p w14:paraId="218B87AF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[8]晋丽婷. 基于多维数据驱动的电力企业财务信息系统的分析与应用 [J]. 电子设计工程, 2025, 33 (22): 54-58.</w:t>
      </w:r>
    </w:p>
    <w:p w14:paraId="29A2797C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[9]罗明珠. 数字化背景下地方国企财务数据泄露风险防范路径分析 [J]. 商业文化, 2025, (21): 113-115.</w:t>
      </w:r>
    </w:p>
    <w:p w14:paraId="48D85C88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 xml:space="preserve">[10]Stanciu B R M ,Lazea I G ,Bunget C O . Human Risk Mitigators: A Bibliometric and Thematic Analysis of Financial Advisors in Household Resilience [J]. Journal of Risk and Financial Management, 2025, 18 (10): 548-548. </w:t>
      </w:r>
    </w:p>
    <w:p w14:paraId="538AA93C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[11]Trung T N . Analyzing Impacts of Green Material Financial Accounting on Climate Risk: A Panel Vector Autoregressive and Dynamic Panel Threshold Model [J]. Journal of International Commerce, Economics and Policy, 2025, (prepublish).</w:t>
      </w:r>
    </w:p>
    <w:p w14:paraId="208E2E6E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[12]Spulbar C ,Cinciulescu D ,Ene C C , et al. Altman Z-Score Modeling and Financial Risk analysis: An Empirical Study on Companies Listed on the Bucharest Stock Exchange [J]. Studies in Business and Economics, 2025, 20 (2): 314-340.</w:t>
      </w:r>
    </w:p>
    <w:p w14:paraId="0311CC31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[13]Medved D . Dynamic pricing and solvency of peer-to-peer insurance: a framework for transparency, risk sharing, and financial sustainability [J]. Risk Management, 2025, 27 (3): 11-11.</w:t>
      </w:r>
    </w:p>
    <w:p w14:paraId="7C7125E1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[14]洪纪芸. 从风险控制视角分析基金公司如何加强财务管理 [J]. 中国乡镇企业会计, 2025, (21): 187-189.</w:t>
      </w:r>
    </w:p>
    <w:p w14:paraId="42B86BE4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[15]方晓纯. 数字经济视域下基于业财融合的企业财务分析探索 [J]. 中国集体经济, 2025, (33): 157-160.</w:t>
      </w:r>
    </w:p>
    <w:p w14:paraId="75E4E7D3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[16]吴明远,邓玉婷. 基于大数据分析的企业财务报账审核风险预警模型构建研究 [J]. 中国集体经济, 2025, (33): 169-172.</w:t>
      </w:r>
    </w:p>
    <w:p w14:paraId="354DBECD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[17]房小蝶. 万科集团财务风险研究——以被举牌为例 [J]. 河北企业, 2025, (11): 107-110.</w:t>
      </w:r>
    </w:p>
    <w:p w14:paraId="1371185C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 xml:space="preserve">[18]谢张帆. 银行信贷业务财务分析策略研究 [J]. 现代营销, 2025, (31): 82-84. </w:t>
      </w:r>
    </w:p>
    <w:p w14:paraId="1ABDB151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[19]郭美娇. 以价值创造为导向的企业财务风险管理优化策略 [J]. 老字号品牌营销, 2025, (21): 43-45.</w:t>
      </w:r>
    </w:p>
    <w:bookmarkEnd w:id="0"/>
    <w:p w14:paraId="38C00A13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666666"/>
          <w:spacing w:val="0"/>
          <w:sz w:val="21"/>
          <w:szCs w:val="21"/>
          <w:shd w:val="clear" w:fill="FFFFFF"/>
          <w:lang w:val="en-US" w:eastAsia="zh-CN"/>
        </w:rPr>
      </w:pPr>
    </w:p>
    <w:p w14:paraId="448EB498">
      <w:pPr>
        <w:rPr>
          <w:rFonts w:hint="default" w:ascii="Times New Roman" w:hAnsi="Times New Roman" w:eastAsia="宋体" w:cs="Times New Roman"/>
          <w:b w:val="0"/>
          <w:bCs w:val="0"/>
          <w:color w:val="0000FF"/>
          <w:sz w:val="21"/>
          <w:szCs w:val="21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color w:val="0000FF"/>
          <w:sz w:val="21"/>
          <w:szCs w:val="21"/>
          <w:lang w:val="en-US" w:eastAsia="zh-CN"/>
        </w:rPr>
        <w:t>参考数据：</w:t>
      </w:r>
    </w:p>
    <w:p w14:paraId="73DEA0A2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指标分类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具体指标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24-12-31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23-12-31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22-12-31</w:t>
      </w:r>
    </w:p>
    <w:p w14:paraId="38E6BF5B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每股指标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基本每股收益 (元)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2.1100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1.4400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1.2300</w:t>
      </w:r>
    </w:p>
    <w:p w14:paraId="5D0728E3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扣非每股收益 (元)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2.0500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1.9200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1.3700</w:t>
      </w:r>
    </w:p>
    <w:p w14:paraId="079B7550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稀释每股收益 (元)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2.0400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1.3600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1.2000</w:t>
      </w:r>
    </w:p>
    <w:p w14:paraId="6F060505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每股净资产 (元)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12.7260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15.3895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11.2163</w:t>
      </w:r>
    </w:p>
    <w:p w14:paraId="288C68D6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每股公积金 (元)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4.4323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6.7841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3.6012</w:t>
      </w:r>
    </w:p>
    <w:p w14:paraId="1146B9FC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每股未分配利润 (元)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6.4806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6.9822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6.0951</w:t>
      </w:r>
    </w:p>
    <w:p w14:paraId="7D62DDDE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每股经营现金流 (元)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1.8927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3.1811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1.5826</w:t>
      </w:r>
    </w:p>
    <w:p w14:paraId="79B7E547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----------------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--------------------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-----------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-----------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-----------</w:t>
      </w:r>
    </w:p>
    <w:p w14:paraId="17645C18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成长能力指标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营业总收入 (元)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85.11 亿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78.42 亿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62.92 亿</w:t>
      </w:r>
    </w:p>
    <w:p w14:paraId="7ECE6A23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毛利润 (元)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27.95 亿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19.51 亿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12.90 亿</w:t>
      </w:r>
    </w:p>
    <w:p w14:paraId="23A66FE2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归属净利润 (元)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21.86 亿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13.69 亿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8.009 亿</w:t>
      </w:r>
    </w:p>
    <w:p w14:paraId="1A9E46B8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扣非净利润 (元)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21.26 亿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13.05 亿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8.882 亿</w:t>
      </w:r>
    </w:p>
    <w:p w14:paraId="21AC94CF">
      <w:pP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营业总收入同比增长 (%)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8.53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24.63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21.53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3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1070812"/>
    <w:rsid w:val="03253F4C"/>
    <w:rsid w:val="1B8D2B5C"/>
    <w:rsid w:val="26FE1DEC"/>
    <w:rsid w:val="2F5E12EF"/>
    <w:rsid w:val="30F15E99"/>
    <w:rsid w:val="35D07049"/>
    <w:rsid w:val="371F3DE4"/>
    <w:rsid w:val="53C633E8"/>
    <w:rsid w:val="59F34F31"/>
    <w:rsid w:val="61070812"/>
    <w:rsid w:val="63147CC6"/>
    <w:rsid w:val="63AD5C13"/>
    <w:rsid w:val="66B3558D"/>
    <w:rsid w:val="6A0C16F7"/>
    <w:rsid w:val="6B8359E9"/>
    <w:rsid w:val="6CF1178C"/>
    <w:rsid w:val="6D82064E"/>
    <w:rsid w:val="719426FE"/>
    <w:rsid w:val="73E610C9"/>
    <w:rsid w:val="758A3D23"/>
    <w:rsid w:val="796D439A"/>
    <w:rsid w:val="7CB463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annotation text"/>
    <w:basedOn w:val="1"/>
    <w:qFormat/>
    <w:uiPriority w:val="0"/>
    <w:pPr>
      <w:jc w:val="left"/>
    </w:pPr>
  </w:style>
  <w:style w:type="paragraph" w:styleId="3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6">
    <w:name w:val="Strong"/>
    <w:basedOn w:val="5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3058</Words>
  <Characters>5923</Characters>
  <Lines>0</Lines>
  <Paragraphs>0</Paragraphs>
  <TotalTime>526</TotalTime>
  <ScaleCrop>false</ScaleCrop>
  <LinksUpToDate>false</LinksUpToDate>
  <CharactersWithSpaces>6502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2025-12-17T07:47:00Z</dcterms:created>
  <dc:creator>三坛海会大神</dc:creator>
  <cp:lastModifiedBy>三坛海会大神</cp:lastModifiedBy>
  <dcterms:modified xsi:type="dcterms:W3CDTF">2025-12-23T09:13:52Z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4C8E0D24407648FE8E14D1F24ABCE71F_13</vt:lpwstr>
  </property>
  <property fmtid="{D5CDD505-2E9C-101B-9397-08002B2CF9AE}" pid="4" name="KSOTemplateDocerSaveRecord">
    <vt:lpwstr>eyJoZGlkIjoiOWM3OGRmOGE4Mzk0MTc0ZmQ2M2MwNTI5MzBmZjk5ZjgiLCJ1c2VySWQiOiI3MTY5OTYzNzYifQ==</vt:lpwstr>
  </property>
</Properties>
</file>