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(1-r)*n*m*2*Ktr*Ctr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r*n*m*2*Ktr*Ctr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time_fpga*4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E9899D" w:rsidR="00D52D0A" w:rsidRPr="00B653F0" w:rsidRDefault="002C2352" w:rsidP="00EB0B4B">
      <w:pPr>
        <w:rPr>
          <w:rFonts w:ascii="Times New Roman" w:hAnsi="Times New Roman" w:cs="Times New Roman"/>
          <w:sz w:val="18"/>
          <w:szCs w:val="18"/>
        </w:rPr>
      </w:pPr>
      <w:r>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1672E047" w:rsidR="00BE6CFC" w:rsidRDefault="00B97B66" w:rsidP="00B97B66">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279C6DCA"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roofErr w:type="spellEnd"/>
    </w:p>
    <w:p w14:paraId="6A35BB3D" w14:textId="77777777" w:rsidR="00F140CF"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26BAE025"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lastRenderedPageBreak/>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w:t>
      </w:r>
      <w:proofErr w:type="spellStart"/>
      <w:r w:rsidRPr="00E61093">
        <w:rPr>
          <w:rFonts w:ascii="Times New Roman" w:hAnsi="Times New Roman" w:cs="Times New Roman"/>
          <w:sz w:val="16"/>
          <w:szCs w:val="16"/>
        </w:rPr>
        <w:t>Mukamel</w:t>
      </w:r>
      <w:proofErr w:type="spellEnd"/>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1D46894C" w:rsidR="00E61093" w:rsidRDefault="00E61093" w:rsidP="00E61093">
      <w:pPr>
        <w:pStyle w:val="references"/>
        <w:numPr>
          <w:ilvl w:val="0"/>
          <w:numId w:val="0"/>
        </w:numPr>
        <w:spacing w:line="240" w:lineRule="auto"/>
        <w:ind w:left="360" w:hanging="360"/>
      </w:pPr>
      <w:r>
        <w:t>[</w:t>
      </w:r>
      <w:r w:rsidR="003C4AF7">
        <w:t>5</w:t>
      </w:r>
      <w:r>
        <w:t>] N.C. Pegard et al., “Compressive light-field microscopy for 3D</w:t>
      </w:r>
      <w:r w:rsidR="008D687D">
        <w:t xml:space="preserve"> </w:t>
      </w:r>
      <w:r>
        <w:t>neural activity recording,” Optica 3, 517-524 (2016).</w:t>
      </w:r>
    </w:p>
    <w:p w14:paraId="1A7FA743" w14:textId="77777777" w:rsidR="00264E07" w:rsidRDefault="00264E07" w:rsidP="00E61093">
      <w:pPr>
        <w:pStyle w:val="references"/>
        <w:numPr>
          <w:ilvl w:val="0"/>
          <w:numId w:val="0"/>
        </w:numPr>
        <w:spacing w:line="240" w:lineRule="auto"/>
        <w:ind w:left="360" w:hanging="360"/>
      </w:pPr>
    </w:p>
    <w:p w14:paraId="3A72E681" w14:textId="2E40825E" w:rsidR="00E61093" w:rsidRDefault="00E61093" w:rsidP="00E61093">
      <w:pPr>
        <w:pStyle w:val="references"/>
        <w:numPr>
          <w:ilvl w:val="0"/>
          <w:numId w:val="0"/>
        </w:numPr>
        <w:spacing w:line="240" w:lineRule="auto"/>
      </w:pPr>
      <w:r>
        <w:t>[</w:t>
      </w:r>
      <w:r w:rsidR="003C4AF7">
        <w:t>6</w:t>
      </w:r>
      <w:r>
        <w:t xml:space="preserve">] R. Baraniuk, P.Steeghs, “Compressive radar imaging,” IEEE Radar Conference (2007). </w:t>
      </w:r>
    </w:p>
    <w:p w14:paraId="7BD61F7F" w14:textId="77777777" w:rsidR="00264E07" w:rsidRDefault="00264E07" w:rsidP="00E61093">
      <w:pPr>
        <w:pStyle w:val="references"/>
        <w:numPr>
          <w:ilvl w:val="0"/>
          <w:numId w:val="0"/>
        </w:numPr>
        <w:spacing w:line="240" w:lineRule="auto"/>
      </w:pPr>
    </w:p>
    <w:p w14:paraId="6501B49C" w14:textId="608332B0" w:rsidR="00E61093" w:rsidRDefault="00E61093" w:rsidP="00E61093">
      <w:pPr>
        <w:pStyle w:val="references"/>
        <w:numPr>
          <w:ilvl w:val="0"/>
          <w:numId w:val="0"/>
        </w:numPr>
        <w:spacing w:line="240" w:lineRule="auto"/>
        <w:ind w:left="360" w:hanging="360"/>
      </w:pPr>
      <w:r>
        <w:t>[</w:t>
      </w:r>
      <w:r w:rsidR="003C4AF7">
        <w:t>7</w:t>
      </w:r>
      <w:r>
        <w:t>] V. Vaish, et al., “Reconstructing occluded surfaces using synthetic apertures: Stereo, focus and robust measures,” Proc. 2006 IEEE Computer Society Conference on Computer Vision and Pattern Recognition (IEEE, New York, 2006).</w:t>
      </w:r>
    </w:p>
    <w:p w14:paraId="243C64FA" w14:textId="77777777" w:rsidR="00264E07" w:rsidRDefault="00264E07" w:rsidP="00E61093">
      <w:pPr>
        <w:pStyle w:val="references"/>
        <w:numPr>
          <w:ilvl w:val="0"/>
          <w:numId w:val="0"/>
        </w:numPr>
        <w:spacing w:line="240" w:lineRule="auto"/>
        <w:ind w:left="360" w:hanging="360"/>
      </w:pPr>
    </w:p>
    <w:p w14:paraId="0D7AA508" w14:textId="3BFA98E5" w:rsidR="00E61093" w:rsidRDefault="00E61093" w:rsidP="00E61093">
      <w:pPr>
        <w:pStyle w:val="references"/>
        <w:numPr>
          <w:ilvl w:val="0"/>
          <w:numId w:val="0"/>
        </w:numPr>
        <w:spacing w:line="240" w:lineRule="auto"/>
        <w:ind w:left="360" w:hanging="360"/>
      </w:pPr>
      <w:r>
        <w:t>[</w:t>
      </w:r>
      <w:r w:rsidR="003C4AF7">
        <w:t>8</w:t>
      </w:r>
      <w:r>
        <w:t>] N. Zeller, F. Quint, and U. Stilla, “From the calibration of a light-field camera to direct plenoptic odometry,” IEEE J. Sel Top. Signal Process 11, 1004-1019 (2017).</w:t>
      </w:r>
    </w:p>
    <w:p w14:paraId="17C86D60" w14:textId="77777777" w:rsidR="00264E07" w:rsidRDefault="00264E07" w:rsidP="00E61093">
      <w:pPr>
        <w:pStyle w:val="references"/>
        <w:numPr>
          <w:ilvl w:val="0"/>
          <w:numId w:val="0"/>
        </w:numPr>
        <w:spacing w:line="240" w:lineRule="auto"/>
        <w:ind w:left="360" w:hanging="360"/>
      </w:pPr>
    </w:p>
    <w:p w14:paraId="7098448E" w14:textId="7F18A9BA"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70344B10" w14:textId="77777777" w:rsidR="00264E07" w:rsidRDefault="00264E07" w:rsidP="00E61093">
      <w:pPr>
        <w:pStyle w:val="references"/>
        <w:numPr>
          <w:ilvl w:val="0"/>
          <w:numId w:val="0"/>
        </w:numPr>
        <w:spacing w:line="240" w:lineRule="auto"/>
        <w:ind w:left="360" w:hanging="360"/>
      </w:pPr>
    </w:p>
    <w:p w14:paraId="6EEBEDC6" w14:textId="2130A6D1"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627C5918" w14:textId="77777777" w:rsidR="00264E07" w:rsidRDefault="00264E07" w:rsidP="00E61093">
      <w:pPr>
        <w:pStyle w:val="references"/>
        <w:numPr>
          <w:ilvl w:val="0"/>
          <w:numId w:val="0"/>
        </w:numPr>
        <w:spacing w:line="240" w:lineRule="auto"/>
        <w:ind w:left="360" w:hanging="360"/>
      </w:pPr>
    </w:p>
    <w:p w14:paraId="49BE449E" w14:textId="5772DE43"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6CC5836F" w14:textId="77777777" w:rsidR="00264E07" w:rsidRDefault="00264E07" w:rsidP="00E61093">
      <w:pPr>
        <w:pStyle w:val="references"/>
        <w:numPr>
          <w:ilvl w:val="0"/>
          <w:numId w:val="0"/>
        </w:numPr>
        <w:spacing w:line="240" w:lineRule="auto"/>
        <w:ind w:left="360" w:hanging="360"/>
      </w:pPr>
    </w:p>
    <w:p w14:paraId="3AB88BAA" w14:textId="70502405"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4D82C6D5" w14:textId="77777777" w:rsidR="00264E07" w:rsidRDefault="00264E07" w:rsidP="00E61093">
      <w:pPr>
        <w:pStyle w:val="references"/>
        <w:numPr>
          <w:ilvl w:val="0"/>
          <w:numId w:val="0"/>
        </w:numPr>
        <w:spacing w:line="240" w:lineRule="auto"/>
        <w:ind w:left="360" w:hanging="360"/>
      </w:pP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 xml:space="preserve">[13]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2D12AC53"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4069C8EA" w14:textId="77777777" w:rsidR="00264E07" w:rsidRDefault="00264E07" w:rsidP="004779D0">
      <w:pPr>
        <w:pStyle w:val="references"/>
        <w:numPr>
          <w:ilvl w:val="0"/>
          <w:numId w:val="0"/>
        </w:numPr>
        <w:spacing w:line="240" w:lineRule="auto"/>
        <w:ind w:left="360" w:hanging="360"/>
      </w:pP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 of FFTW3. In </w:t>
      </w:r>
      <w:r w:rsidRPr="00552E0E">
        <w:rPr>
          <w:rFonts w:ascii="Times New Roman" w:eastAsia="NimbusRomNo9L-ReguItal" w:hAnsi="Times New Roman" w:cs="Times New Roman"/>
          <w:i/>
          <w:iCs/>
          <w:sz w:val="16"/>
          <w:szCs w:val="16"/>
        </w:rPr>
        <w:t>Proceedings of the IEEE: Special issue</w:t>
      </w:r>
    </w:p>
    <w:p w14:paraId="4049724F" w14:textId="55154DE5" w:rsid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D5A387D" w14:textId="77777777" w:rsidR="00E73240" w:rsidRDefault="00E73240" w:rsidP="00552E0E">
      <w:pPr>
        <w:autoSpaceDE w:val="0"/>
        <w:autoSpaceDN w:val="0"/>
        <w:adjustRightInd w:val="0"/>
        <w:spacing w:after="0" w:line="240" w:lineRule="auto"/>
        <w:rPr>
          <w:rFonts w:ascii="Times New Roman" w:eastAsia="NimbusRomNo9L-Regu" w:hAnsi="Times New Roman" w:cs="Times New Roman"/>
          <w:sz w:val="16"/>
          <w:szCs w:val="16"/>
        </w:rPr>
      </w:pPr>
    </w:p>
    <w:p w14:paraId="194C4594" w14:textId="592AABFF" w:rsidR="00E73240" w:rsidRDefault="00E73240"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 xml:space="preserve">[23] S. </w:t>
      </w:r>
      <w:proofErr w:type="spellStart"/>
      <w:r>
        <w:rPr>
          <w:rFonts w:ascii="Times New Roman" w:eastAsia="NimbusRomNo9L-Regu" w:hAnsi="Times New Roman" w:cs="Times New Roman"/>
          <w:sz w:val="16"/>
          <w:szCs w:val="16"/>
        </w:rPr>
        <w:t>Markidis</w:t>
      </w:r>
      <w:proofErr w:type="spellEnd"/>
      <w:r>
        <w:rPr>
          <w:rFonts w:ascii="Times New Roman" w:eastAsia="NimbusRomNo9L-Regu" w:hAnsi="Times New Roman" w:cs="Times New Roman"/>
          <w:sz w:val="16"/>
          <w:szCs w:val="16"/>
        </w:rPr>
        <w:t xml:space="preserve">, S. </w:t>
      </w:r>
      <w:proofErr w:type="spellStart"/>
      <w:r>
        <w:rPr>
          <w:rFonts w:ascii="Times New Roman" w:eastAsia="NimbusRomNo9L-Regu" w:hAnsi="Times New Roman" w:cs="Times New Roman"/>
          <w:sz w:val="16"/>
          <w:szCs w:val="16"/>
        </w:rPr>
        <w:t>Chien,E</w:t>
      </w:r>
      <w:proofErr w:type="spellEnd"/>
      <w:r>
        <w:rPr>
          <w:rFonts w:ascii="Times New Roman" w:eastAsia="NimbusRomNo9L-Regu" w:hAnsi="Times New Roman" w:cs="Times New Roman"/>
          <w:sz w:val="16"/>
          <w:szCs w:val="16"/>
        </w:rPr>
        <w:t xml:space="preserve">. Laure, “ NVIDIA Tensor Core Programmability &amp; </w:t>
      </w:r>
      <w:proofErr w:type="spellStart"/>
      <w:r>
        <w:rPr>
          <w:rFonts w:ascii="Times New Roman" w:eastAsia="NimbusRomNo9L-Regu" w:hAnsi="Times New Roman" w:cs="Times New Roman"/>
          <w:sz w:val="16"/>
          <w:szCs w:val="16"/>
        </w:rPr>
        <w:t>Precision,”European</w:t>
      </w:r>
      <w:proofErr w:type="spellEnd"/>
      <w:r>
        <w:rPr>
          <w:rFonts w:ascii="Times New Roman" w:eastAsia="NimbusRomNo9L-Regu" w:hAnsi="Times New Roman" w:cs="Times New Roman"/>
          <w:sz w:val="16"/>
          <w:szCs w:val="16"/>
        </w:rPr>
        <w:t xml:space="preserve"> </w:t>
      </w:r>
      <w:proofErr w:type="spellStart"/>
      <w:r>
        <w:rPr>
          <w:rFonts w:ascii="Times New Roman" w:eastAsia="NimbusRomNo9L-Regu" w:hAnsi="Times New Roman" w:cs="Times New Roman"/>
          <w:sz w:val="16"/>
          <w:szCs w:val="16"/>
        </w:rPr>
        <w:t>Commision</w:t>
      </w:r>
      <w:proofErr w:type="spellEnd"/>
      <w:r>
        <w:rPr>
          <w:rFonts w:ascii="Times New Roman" w:eastAsia="NimbusRomNo9L-Regu" w:hAnsi="Times New Roman" w:cs="Times New Roman"/>
          <w:sz w:val="16"/>
          <w:szCs w:val="16"/>
        </w:rPr>
        <w:t xml:space="preserve"> H2020,Grant Agreement No. 671500(SAGE0, (2018)</w:t>
      </w:r>
    </w:p>
    <w:p w14:paraId="13DFA2BD" w14:textId="77777777" w:rsidR="00821ED7" w:rsidRDefault="00821ED7" w:rsidP="00552E0E">
      <w:pPr>
        <w:autoSpaceDE w:val="0"/>
        <w:autoSpaceDN w:val="0"/>
        <w:adjustRightInd w:val="0"/>
        <w:spacing w:after="0" w:line="240" w:lineRule="auto"/>
        <w:rPr>
          <w:rFonts w:ascii="Times New Roman" w:eastAsia="NimbusRomNo9L-Regu" w:hAnsi="Times New Roman" w:cs="Times New Roman"/>
          <w:sz w:val="16"/>
          <w:szCs w:val="16"/>
        </w:rPr>
      </w:pPr>
    </w:p>
    <w:p w14:paraId="015E25F7" w14:textId="23D3C777" w:rsidR="00F00065" w:rsidRDefault="00F00065"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[2</w:t>
      </w:r>
      <w:r w:rsidR="00821ED7">
        <w:rPr>
          <w:rFonts w:ascii="Times New Roman" w:eastAsia="NimbusRomNo9L-Regu" w:hAnsi="Times New Roman" w:cs="Times New Roman"/>
          <w:sz w:val="16"/>
          <w:szCs w:val="16"/>
        </w:rPr>
        <w:t>4</w:t>
      </w:r>
      <w:r>
        <w:rPr>
          <w:rFonts w:ascii="Times New Roman" w:eastAsia="NimbusRomNo9L-Regu" w:hAnsi="Times New Roman" w:cs="Times New Roman"/>
          <w:sz w:val="16"/>
          <w:szCs w:val="16"/>
        </w:rPr>
        <w:t>]</w:t>
      </w:r>
      <w:r w:rsidR="00FE3ACB">
        <w:rPr>
          <w:rFonts w:ascii="Times New Roman" w:eastAsia="NimbusRomNo9L-Regu" w:hAnsi="Times New Roman" w:cs="Times New Roman"/>
          <w:sz w:val="16"/>
          <w:szCs w:val="16"/>
        </w:rPr>
        <w:t xml:space="preserve"> A. Fog, “ Instruction Tables for Intel, </w:t>
      </w:r>
      <w:proofErr w:type="gramStart"/>
      <w:r w:rsidR="00FE3ACB">
        <w:rPr>
          <w:rFonts w:ascii="Times New Roman" w:eastAsia="NimbusRomNo9L-Regu" w:hAnsi="Times New Roman" w:cs="Times New Roman"/>
          <w:sz w:val="16"/>
          <w:szCs w:val="16"/>
        </w:rPr>
        <w:t>AMD</w:t>
      </w:r>
      <w:proofErr w:type="gramEnd"/>
      <w:r w:rsidR="00FE3ACB">
        <w:rPr>
          <w:rFonts w:ascii="Times New Roman" w:eastAsia="NimbusRomNo9L-Regu" w:hAnsi="Times New Roman" w:cs="Times New Roman"/>
          <w:sz w:val="16"/>
          <w:szCs w:val="16"/>
        </w:rPr>
        <w:t xml:space="preserve"> and VIA CPUs,”</w:t>
      </w:r>
    </w:p>
    <w:p w14:paraId="76A9804D" w14:textId="0C7F1BEB" w:rsidR="00FE3ACB" w:rsidRDefault="00FE3ACB"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Technical University of Denmark, updated 2021-08-17</w:t>
      </w:r>
    </w:p>
    <w:p w14:paraId="035ECC22" w14:textId="66C9EBF2" w:rsidR="00A76DEB" w:rsidRDefault="00A76DEB" w:rsidP="00552E0E">
      <w:pPr>
        <w:autoSpaceDE w:val="0"/>
        <w:autoSpaceDN w:val="0"/>
        <w:adjustRightInd w:val="0"/>
        <w:spacing w:after="0" w:line="240" w:lineRule="auto"/>
        <w:rPr>
          <w:rFonts w:ascii="Times New Roman" w:eastAsia="NimbusRomNo9L-Regu" w:hAnsi="Times New Roman" w:cs="Times New Roman"/>
          <w:sz w:val="16"/>
          <w:szCs w:val="16"/>
        </w:rPr>
      </w:pPr>
    </w:p>
    <w:p w14:paraId="6B6D9A92" w14:textId="2ACA9D06" w:rsidR="00A76DEB" w:rsidRPr="00552E0E" w:rsidRDefault="00A76DEB"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[25] K. Nguyen, J. Zheng, Y. He, and B. Shah, “ A High-Throughput , Adaptive FFT Architecture for FPGA-Based Space-Borne Data Processors, “</w:t>
      </w:r>
      <w:r w:rsidR="00464224">
        <w:rPr>
          <w:rFonts w:ascii="Times New Roman" w:eastAsia="NimbusRomNo9L-Regu" w:hAnsi="Times New Roman" w:cs="Times New Roman"/>
          <w:sz w:val="16"/>
          <w:szCs w:val="16"/>
        </w:rPr>
        <w:t xml:space="preserve"> NASA Contract</w:t>
      </w:r>
      <w:r>
        <w:rPr>
          <w:rFonts w:ascii="Times New Roman" w:eastAsia="NimbusRomNo9L-Regu" w:hAnsi="Times New Roman" w:cs="Times New Roman"/>
          <w:sz w:val="16"/>
          <w:szCs w:val="16"/>
        </w:rPr>
        <w:t xml:space="preserve"> </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440B" w14:textId="77777777" w:rsidR="00203501" w:rsidRDefault="00203501" w:rsidP="00984EA9">
      <w:pPr>
        <w:spacing w:after="0" w:line="240" w:lineRule="auto"/>
      </w:pPr>
      <w:r>
        <w:separator/>
      </w:r>
    </w:p>
  </w:endnote>
  <w:endnote w:type="continuationSeparator" w:id="0">
    <w:p w14:paraId="69E08EBC" w14:textId="77777777" w:rsidR="00203501" w:rsidRDefault="00203501"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9E39E" w14:textId="77777777" w:rsidR="00203501" w:rsidRDefault="00203501" w:rsidP="00984EA9">
      <w:pPr>
        <w:spacing w:after="0" w:line="240" w:lineRule="auto"/>
      </w:pPr>
      <w:r>
        <w:separator/>
      </w:r>
    </w:p>
  </w:footnote>
  <w:footnote w:type="continuationSeparator" w:id="0">
    <w:p w14:paraId="27171EC0" w14:textId="77777777" w:rsidR="00203501" w:rsidRDefault="00203501"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6"/>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3501"/>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00065"/>
    <w:rsid w:val="00F134D5"/>
    <w:rsid w:val="00F140CF"/>
    <w:rsid w:val="00F15825"/>
    <w:rsid w:val="00F16BDA"/>
    <w:rsid w:val="00F35F82"/>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9663</TotalTime>
  <Pages>7</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434</cp:revision>
  <dcterms:created xsi:type="dcterms:W3CDTF">2022-04-25T17:47:00Z</dcterms:created>
  <dcterms:modified xsi:type="dcterms:W3CDTF">2022-05-07T20:39:00Z</dcterms:modified>
</cp:coreProperties>
</file>