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2D52"/>
          <w:sz w:val="38"/>
        </w:rPr>
        <w:t>Anticipated Audience Questions and Answers</w:t>
      </w:r>
    </w:p>
    <w:p>
      <w:r>
        <w:rPr>
          <w:color w:val="5F6B7A"/>
          <w:sz w:val="20"/>
        </w:rPr>
        <w:t>Companion to: Philosophy and Its Role in Education and Society — Kaudilyar R</w:t>
      </w:r>
    </w:p>
    <w:p/>
    <w:p>
      <w:pPr>
        <w:spacing w:after="200"/>
      </w:pPr>
      <w:r>
        <w:rPr>
          <w:sz w:val="20"/>
        </w:rPr>
        <w:t>These questions were anticipated for the research seminar on “Philosophy and Its Role in Education and Society”. Each answer is kept short, is spoken in the same order as the presentation, and cites the verified sources listed in the deck's reference slides. Where the presentation cannot settle a question from the sources it uses, the answer says so rather than speculating. All citations follow APA 7th edition.</w:t>
      </w:r>
    </w:p>
    <w:p>
      <w:pPr>
        <w:spacing w:before="180" w:after="60"/>
      </w:pPr>
      <w:r>
        <w:rPr>
          <w:b/>
          <w:color w:val="0F2D52"/>
          <w:sz w:val="23"/>
        </w:rPr>
        <w:t>Q1.  If philosophy never reaches final answers, how can it be useful to education?</w:t>
      </w:r>
    </w:p>
    <w:p>
      <w:pPr>
        <w:spacing w:after="60" w:line="264" w:lineRule="auto"/>
      </w:pPr>
      <w:r>
        <w:t>Because usefulness does not require finality. Philosophy's contribution is to make the reasons for educational decisions explicit and open to criticism, rather than to settle them once and for all. Dewey argued that education is the process of forming fundamental dispositions of inquiry, and Peters that education is inseparable from questions of value and justification. On this view philosophy's value lies in the quality of the reasoning it forces into the open, not in a guaranteed verdict. Biesta's critique of evidence-based practice in educational research makes a parallel point: what counts as evidence, and what counts as a good outcome, are themselves normative questions that no measurement can answer on its own.</w:t>
      </w:r>
    </w:p>
    <w:p>
      <w:pPr>
        <w:spacing w:after="120"/>
      </w:pPr>
      <w:r>
        <w:rPr>
          <w:i/>
          <w:color w:val="5F6B7A"/>
          <w:sz w:val="18"/>
        </w:rPr>
        <w:t>Sources: Dewey (1916); Peters (1966); Biesta (2007)</w:t>
      </w:r>
    </w:p>
    <w:p>
      <w:pPr>
        <w:spacing w:before="180" w:after="60"/>
      </w:pPr>
      <w:r>
        <w:rPr>
          <w:b/>
          <w:color w:val="0F2D52"/>
          <w:sz w:val="23"/>
        </w:rPr>
        <w:t>Q2.  What is the difference between philosophy of education and educational policy or theory?</w:t>
      </w:r>
    </w:p>
    <w:p>
      <w:pPr>
        <w:spacing w:after="60" w:line="264" w:lineRule="auto"/>
      </w:pPr>
      <w:r>
        <w:t>Philosophy of education is the second-order study of the concepts and assumptions that policy and theory take for granted: what education is for, what knowledge is, what counts as learning, and who has authority to decide. Policy and theory make claims within those assumptions; philosophy examines the assumptions themselves. Curren's anthology and Siegel's handbook both present the field this way, as conceptual analysis applied to educational practice rather than as empirical research or administrative design.</w:t>
      </w:r>
    </w:p>
    <w:p>
      <w:pPr>
        <w:spacing w:after="120"/>
      </w:pPr>
      <w:r>
        <w:rPr>
          <w:i/>
          <w:color w:val="5F6B7A"/>
          <w:sz w:val="18"/>
        </w:rPr>
        <w:t>Sources: Curren (2007); Siegel (2009)</w:t>
      </w:r>
    </w:p>
    <w:p>
      <w:pPr>
        <w:spacing w:before="180" w:after="60"/>
      </w:pPr>
      <w:r>
        <w:rPr>
          <w:b/>
          <w:color w:val="0F2D52"/>
          <w:sz w:val="23"/>
        </w:rPr>
        <w:t>Q3.  Are the five educational philosophies mutually exclusive, or can a teacher combine them?</w:t>
      </w:r>
    </w:p>
    <w:p>
      <w:pPr>
        <w:spacing w:after="60" w:line="264" w:lineRule="auto"/>
      </w:pPr>
      <w:r>
        <w:t>They are not mutually exclusive in practice, but they are not fully compatible either. Each rests on a different account of reality and knowledge, and those accounts generate different aims, so combining them involves a genuine tension rather than a simple blend. This presentation treats them as analytical perspectives that clarify commitments, in the way Gutek presents the traditions. Combining them is defensible, but the teacher should be able to say which commitment governs when they conflict — for example, whether discovery or mastery has priority in a particular lesson.</w:t>
      </w:r>
    </w:p>
    <w:p>
      <w:pPr>
        <w:spacing w:after="120"/>
      </w:pPr>
      <w:r>
        <w:rPr>
          <w:i/>
          <w:color w:val="5F6B7A"/>
          <w:sz w:val="18"/>
        </w:rPr>
        <w:t>Sources: Gutek (2013); Curren (2007)</w:t>
      </w:r>
    </w:p>
    <w:p>
      <w:pPr>
        <w:spacing w:before="180" w:after="60"/>
      </w:pPr>
      <w:r>
        <w:rPr>
          <w:b/>
          <w:color w:val="0F2D52"/>
          <w:sz w:val="23"/>
        </w:rPr>
        <w:t>Q4.  You said you claim no effect sizes. So how do we know any of this matters?</w:t>
      </w:r>
    </w:p>
    <w:p>
      <w:pPr>
        <w:spacing w:after="60" w:line="264" w:lineRule="auto"/>
      </w:pPr>
      <w:r>
        <w:t>This presentation does not claim that any tradition produces better outcomes, and it should not be read as doing so. The comparison is conceptual: it identifies what each tradition commits a teacher to. Where empirical claims do appear they are attributed to the studies that made them — for example, the Open Science Collaboration's replication findings, and Nosek and colleagues on open research practice. Testing whether a particular pedagogy works would require a controlled design with defined outcomes, which is a separate study and is identified on the limitations slide as further work.</w:t>
      </w:r>
    </w:p>
    <w:p>
      <w:pPr>
        <w:spacing w:after="120"/>
      </w:pPr>
      <w:r>
        <w:rPr>
          <w:i/>
          <w:color w:val="5F6B7A"/>
          <w:sz w:val="18"/>
        </w:rPr>
        <w:t>Sources: Open Science Collaboration (2015); Nosek et al. (2015)</w:t>
      </w:r>
    </w:p>
    <w:p>
      <w:pPr>
        <w:spacing w:before="180" w:after="60"/>
      </w:pPr>
      <w:r>
        <w:rPr>
          <w:b/>
          <w:color w:val="0F2D52"/>
          <w:sz w:val="23"/>
        </w:rPr>
        <w:t>Q5.  Is critical thinking a general skill that transfers, or is it tied to subject knowledge?</w:t>
      </w:r>
    </w:p>
    <w:p>
      <w:pPr>
        <w:spacing w:after="60" w:line="264" w:lineRule="auto"/>
      </w:pPr>
      <w:r>
        <w:t>Siegel argues in Educating Reason that critical thinking consists in acting on the basis of reasons and should be an explicit aim of education, not a by-product of subject teaching. Whether the thinking so developed transfers across different domains is a separate empirical question, and this presentation does not settle it. What the philosophical literature does establish is that the aim itself is defensible and can be stated, which is why the implications slide recommends teaching reasoning explicitly rather than incidentally.</w:t>
      </w:r>
    </w:p>
    <w:p>
      <w:pPr>
        <w:spacing w:after="120"/>
      </w:pPr>
      <w:r>
        <w:rPr>
          <w:i/>
          <w:color w:val="5F6B7A"/>
          <w:sz w:val="18"/>
        </w:rPr>
        <w:t>Sources: Siegel (1988)</w:t>
      </w:r>
    </w:p>
    <w:p>
      <w:pPr>
        <w:spacing w:before="180" w:after="60"/>
      </w:pPr>
      <w:r>
        <w:rPr>
          <w:b/>
          <w:color w:val="0F2D52"/>
          <w:sz w:val="23"/>
        </w:rPr>
        <w:t>Q6.  How is the Tuskegee case relevant to a computer science student?</w:t>
      </w:r>
    </w:p>
    <w:p>
      <w:pPr>
        <w:spacing w:after="60" w:line="264" w:lineRule="auto"/>
      </w:pPr>
      <w:r>
        <w:t>It establishes the principle that data about people may not be collected or withheld without informed consent, and that principle applies directly to software systems that process personal data. The Belmont Report, which followed from Tuskegee, sets out respect for persons, beneficence and justice as the governing principles. UNESCO's Recommendation on the Ethics of Artificial Intelligence extends that reasoning to algorithmic systems, which is why research and professional ethics are not confined to medicine or the social sciences.</w:t>
      </w:r>
    </w:p>
    <w:p>
      <w:pPr>
        <w:spacing w:after="120"/>
      </w:pPr>
      <w:r>
        <w:rPr>
          <w:i/>
          <w:color w:val="5F6B7A"/>
          <w:sz w:val="18"/>
        </w:rPr>
        <w:t>Sources: National Commission (1979); UNESCO (2021)</w:t>
      </w:r>
    </w:p>
    <w:p>
      <w:pPr>
        <w:spacing w:before="180" w:after="60"/>
      </w:pPr>
      <w:r>
        <w:rPr>
          <w:b/>
          <w:color w:val="0F2D52"/>
          <w:sz w:val="23"/>
        </w:rPr>
        <w:t>Q7.  Is research ethics anything more than a bureaucratic form-filling exercise?</w:t>
      </w:r>
    </w:p>
    <w:p>
      <w:pPr>
        <w:spacing w:after="60" w:line="264" w:lineRule="auto"/>
      </w:pPr>
      <w:r>
        <w:t>The philosophical answer is that it is applied ethics, and the form is a trace of the reasoning rather than a substitute for it. Consent, confidentiality, attribution and integrity each express an obligation owed to particular people: participants, readers and fellow researchers. The Belmont Report, the Declaration of Helsinki and the Singapore Statement all state these as principles first and procedures second. ALLEA's European Code of Conduct and the ICMJE recommendations then translate the principles into practice, which is the point at which the reasoning becomes procedural.</w:t>
      </w:r>
    </w:p>
    <w:p>
      <w:pPr>
        <w:spacing w:after="120"/>
      </w:pPr>
      <w:r>
        <w:rPr>
          <w:i/>
          <w:color w:val="5F6B7A"/>
          <w:sz w:val="18"/>
        </w:rPr>
        <w:t>Sources: National Commission (1979); World Medical Association (2013); Singapore Statement (2010); ALLEA (2023); ICMJE (2024)</w:t>
      </w:r>
    </w:p>
    <w:p>
      <w:pPr>
        <w:spacing w:before="180" w:after="60"/>
      </w:pPr>
      <w:r>
        <w:rPr>
          <w:b/>
          <w:color w:val="0F2D52"/>
          <w:sz w:val="23"/>
        </w:rPr>
        <w:t>Q8.  What is the difference between fabrication, falsification and plagiarism?</w:t>
      </w:r>
    </w:p>
    <w:p>
      <w:pPr>
        <w:spacing w:after="60" w:line="264" w:lineRule="auto"/>
      </w:pPr>
      <w:r>
        <w:t>These are the three standard categories of research misconduct. Fabrication is inventing data or results. Falsification is manipulating, changing or omitting data so that the record no longer represents what was observed. Plagiarism is misappropriating another person's words, data or images without attribution. Shamoo and Resnik set out the categories in this form, and ALLEA's code of conduct states them as the core prohibitions of research integrity. All three are distinguished from honest error, which is not misconduct.</w:t>
      </w:r>
    </w:p>
    <w:p>
      <w:pPr>
        <w:spacing w:after="120"/>
      </w:pPr>
      <w:r>
        <w:rPr>
          <w:i/>
          <w:color w:val="5F6B7A"/>
          <w:sz w:val="18"/>
        </w:rPr>
        <w:t>Sources: Shamoo &amp; Resnik (2015); ALLEA (2023)</w:t>
      </w:r>
    </w:p>
    <w:p>
      <w:pPr>
        <w:spacing w:before="180" w:after="60"/>
      </w:pPr>
      <w:r>
        <w:rPr>
          <w:b/>
          <w:color w:val="0F2D52"/>
          <w:sz w:val="23"/>
        </w:rPr>
        <w:t>Q9.  Why has reproducibility become such a prominent issue?</w:t>
      </w:r>
    </w:p>
    <w:p>
      <w:pPr>
        <w:spacing w:after="60" w:line="264" w:lineRule="auto"/>
      </w:pPr>
      <w:r>
        <w:t>Because replication is the mechanism by which empirical claims are tested, and large collaborative replication found substantially lower reproducibility than the field expected. The Open Science Collaboration's 2015 study of psychological science is the widely cited instance. Ioannidis had argued a decade earlier that most published research findings could be false, on the basis of study design and publication incentives. Nosek and colleagues responded by setting out the open research practices — preregistration, data sharing and reporting standards — that are now the mainstream reform programme.</w:t>
      </w:r>
    </w:p>
    <w:p>
      <w:pPr>
        <w:spacing w:after="120"/>
      </w:pPr>
      <w:r>
        <w:rPr>
          <w:i/>
          <w:color w:val="5F6B7A"/>
          <w:sz w:val="18"/>
        </w:rPr>
        <w:t>Sources: Open Science Collaboration (2015); Ioannidis (2005); Nosek et al. (2015)</w:t>
      </w:r>
    </w:p>
    <w:p>
      <w:pPr>
        <w:spacing w:before="180" w:after="60"/>
      </w:pPr>
      <w:r>
        <w:rPr>
          <w:b/>
          <w:color w:val="0F2D52"/>
          <w:sz w:val="23"/>
        </w:rPr>
        <w:t>Q10.  Does philosophy have a legitimate place in a technical curriculum such as computer science?</w:t>
      </w:r>
    </w:p>
    <w:p>
      <w:pPr>
        <w:spacing w:after="60" w:line="264" w:lineRule="auto"/>
      </w:pPr>
      <w:r>
        <w:t>Yes, on two grounds. First, the technical foundations are themselves philosophical: logic and epistemology underlie the design of algorithms and the evaluation of machine learning, and questions about what a model can be said to know are epistemological. Second, the social consequences of technical work are normative and require ethical reasoning — UNESCO's Recommendation on the Ethics of Artificial Intelligence addresses technical practitioners directly. On this view philosophy is not a rival to technical training but part of what makes it accountable.</w:t>
      </w:r>
    </w:p>
    <w:p>
      <w:pPr>
        <w:spacing w:after="120"/>
      </w:pPr>
      <w:r>
        <w:rPr>
          <w:i/>
          <w:color w:val="5F6B7A"/>
          <w:sz w:val="18"/>
        </w:rPr>
        <w:t>Sources: UNESCO (2021); Popper (1959)</w:t>
      </w:r>
    </w:p>
    <w:p>
      <w:pPr>
        <w:spacing w:before="180" w:after="60"/>
      </w:pPr>
      <w:r>
        <w:rPr>
          <w:b/>
          <w:color w:val="0F2D52"/>
          <w:sz w:val="23"/>
        </w:rPr>
        <w:t>Q11.  Your examples are mainly from Western philosophy. Is that a limitation?</w:t>
      </w:r>
    </w:p>
    <w:p>
      <w:pPr>
        <w:spacing w:after="60" w:line="264" w:lineRule="auto"/>
      </w:pPr>
      <w:r>
        <w:t>It is, and it is stated as one on the limitations slide. The five branches and the five educational traditions presented here are drawn from a predominantly Western tradition, although comparable traditions of systematic reflection exist in Indian, Chinese and Islamic thought and are not represented. The scope of this presentation is therefore bounded, and a comparative treatment would be a substantive extension rather than a footnote.</w:t>
      </w:r>
    </w:p>
    <w:p>
      <w:pPr>
        <w:spacing w:after="120"/>
      </w:pPr>
      <w:r>
        <w:rPr>
          <w:i/>
          <w:color w:val="5F6B7A"/>
          <w:sz w:val="18"/>
        </w:rPr>
        <w:t>Sources: Stated as a limitation; no comparative sources cited in this presentation</w:t>
      </w:r>
    </w:p>
    <w:p>
      <w:r>
        <w:br w:type="page"/>
      </w:r>
    </w:p>
    <w:p>
      <w:r>
        <w:rPr>
          <w:b/>
          <w:color w:val="0F2D52"/>
          <w:sz w:val="26"/>
        </w:rPr>
        <w:t>Full reference list (APA 7th edition)</w:t>
      </w:r>
    </w:p>
    <w:p>
      <w:r>
        <w:rPr>
          <w:b/>
          <w:color w:val="C25E1A"/>
          <w:sz w:val="22"/>
        </w:rPr>
        <w:t>Journal articles</w:t>
      </w:r>
    </w:p>
    <w:p>
      <w:pPr>
        <w:spacing w:after="60" w:line="252" w:lineRule="auto"/>
        <w:ind w:left="403" w:hanging="403"/>
      </w:pPr>
      <w:r>
        <w:rPr>
          <w:sz w:val="18"/>
        </w:rPr>
        <w:t>Biesta, G. (2007). Why “what works” won’t work: Evidence‑based practice and the democratic deficit in educational research. Educational Theory, 57(1), 1–22. https://doi.org/10.1111/j.1741-5446.2006.00241.x</w:t>
      </w:r>
    </w:p>
    <w:p>
      <w:pPr>
        <w:spacing w:after="60" w:line="252" w:lineRule="auto"/>
        <w:ind w:left="403" w:hanging="403"/>
      </w:pPr>
      <w:r>
        <w:rPr>
          <w:sz w:val="18"/>
        </w:rPr>
        <w:t>Fanelli, D. (2009). How many scientists fabricate and falsify research? A systematic review and meta‑analysis of survey data. PLOS ONE, 4(5), e5738. https://doi.org/10.1371/journal.pone.0005738</w:t>
      </w:r>
    </w:p>
    <w:p>
      <w:pPr>
        <w:spacing w:after="60" w:line="252" w:lineRule="auto"/>
        <w:ind w:left="403" w:hanging="403"/>
      </w:pPr>
      <w:r>
        <w:rPr>
          <w:sz w:val="18"/>
        </w:rPr>
        <w:t>Ioannidis, J. P. A. (2005). Why most published research findings are false. PLOS Medicine, 2(8), e124. https://doi.org/10.1371/journal.pmed.0020124</w:t>
      </w:r>
    </w:p>
    <w:p>
      <w:pPr>
        <w:spacing w:after="60" w:line="252" w:lineRule="auto"/>
        <w:ind w:left="403" w:hanging="403"/>
      </w:pPr>
      <w:r>
        <w:rPr>
          <w:sz w:val="18"/>
        </w:rPr>
        <w:t>Martinson, B. C., Anderson, M. S., &amp; de Vries, R. (2005). Scientists behaving badly. Nature, 435(7043), 737–738. https://doi.org/10.1038/435737a</w:t>
      </w:r>
    </w:p>
    <w:p>
      <w:pPr>
        <w:spacing w:after="60" w:line="252" w:lineRule="auto"/>
        <w:ind w:left="403" w:hanging="403"/>
      </w:pPr>
      <w:r>
        <w:rPr>
          <w:sz w:val="18"/>
        </w:rPr>
        <w:t>Milgram, S. (1963). Behavioral study of obedience. Journal of Abnormal and Social Psychology, 67(4), 371–378. https://doi.org/10.1037/h0040525</w:t>
      </w:r>
    </w:p>
    <w:p>
      <w:pPr>
        <w:spacing w:after="60" w:line="252" w:lineRule="auto"/>
        <w:ind w:left="403" w:hanging="403"/>
      </w:pPr>
      <w:r>
        <w:rPr>
          <w:sz w:val="18"/>
        </w:rPr>
        <w:t>Nosek, B. A., Alter, G., Banks, G. C., Borsboom, D., Bowman, S. D., Breckler, S. J., … Yarkoni, T. (2015). Promoting an open research culture. Science, 348(6242), 1422–1425. https://doi.org/10.1126/science.aab2374</w:t>
      </w:r>
    </w:p>
    <w:p>
      <w:pPr>
        <w:spacing w:after="60" w:line="252" w:lineRule="auto"/>
        <w:ind w:left="403" w:hanging="403"/>
      </w:pPr>
      <w:r>
        <w:rPr>
          <w:sz w:val="18"/>
        </w:rPr>
        <w:t>Open Science Collaboration. (2015). Estimating the reproducibility of psychological science. Science, 349(6251), aac4716. https://doi.org/10.1126/science.aac4716</w:t>
      </w:r>
    </w:p>
    <w:p>
      <w:pPr>
        <w:spacing w:after="60" w:line="252" w:lineRule="auto"/>
        <w:ind w:left="403" w:hanging="403"/>
      </w:pPr>
      <w:r>
        <w:rPr>
          <w:sz w:val="18"/>
        </w:rPr>
        <w:t>The Lancet. (2010). Retraction—Ileal‑lymphoid‑nodular hyperplasia, non‑specific colitis, and pervasive developmental disorder in children. The Lancet, 375(9713), 445. https://doi.org/10.1016/S0140-6736(10)60175-4</w:t>
      </w:r>
    </w:p>
    <w:p>
      <w:pPr>
        <w:spacing w:after="60" w:line="252" w:lineRule="auto"/>
        <w:ind w:left="403" w:hanging="403"/>
      </w:pPr>
      <w:r>
        <w:rPr>
          <w:sz w:val="18"/>
        </w:rPr>
        <w:t>Wakefield, A. J., Murch, S. H., Anthony, A., Linnell, J., Casson, D. M., Malik, M., … Walker‑Smith, J. A. (1998). RETRACTED: Ileal‑lymphoid‑nodular hyperplasia, non‑specific colitis, and pervasive developmental disorder in children. The Lancet, 351(9103), 637–641. https://doi.org/10.1016/S0140-6736(97)11096-0</w:t>
      </w:r>
    </w:p>
    <w:p>
      <w:pPr>
        <w:spacing w:after="60" w:line="252" w:lineRule="auto"/>
        <w:ind w:left="403" w:hanging="403"/>
      </w:pPr>
      <w:r>
        <w:rPr>
          <w:sz w:val="18"/>
        </w:rPr>
        <w:t>World Medical Association. (2013). World Medical Association Declaration of Helsinki: Ethical principles for medical research involving human subjects. JAMA, 310(20), 2191–2194. https://doi.org/10.1001/jama.2013.281053</w:t>
      </w:r>
    </w:p>
    <w:p>
      <w:r>
        <w:rPr>
          <w:b/>
          <w:color w:val="C25E1A"/>
          <w:sz w:val="22"/>
        </w:rPr>
        <w:t>Books</w:t>
      </w:r>
    </w:p>
    <w:p>
      <w:pPr>
        <w:spacing w:after="60" w:line="252" w:lineRule="auto"/>
        <w:ind w:left="403" w:hanging="403"/>
      </w:pPr>
      <w:r>
        <w:rPr>
          <w:sz w:val="18"/>
        </w:rPr>
        <w:t>Beauchamp, T. L., &amp; Childress, J. F. (1979). Principles of biomedical ethics. Oxford University Press.</w:t>
      </w:r>
    </w:p>
    <w:p>
      <w:pPr>
        <w:spacing w:after="60" w:line="252" w:lineRule="auto"/>
        <w:ind w:left="403" w:hanging="403"/>
      </w:pPr>
      <w:r>
        <w:rPr>
          <w:sz w:val="18"/>
        </w:rPr>
        <w:t>Biesta, G. J. J. (2010). Good education in an age of measurement: Ethics, politics, democracy. Paradigm Publishers.</w:t>
      </w:r>
    </w:p>
    <w:p>
      <w:pPr>
        <w:spacing w:after="60" w:line="252" w:lineRule="auto"/>
        <w:ind w:left="403" w:hanging="403"/>
      </w:pPr>
      <w:r>
        <w:rPr>
          <w:sz w:val="18"/>
        </w:rPr>
        <w:t>Curren, R. (Ed.). (2007). Philosophy of education: An anthology. Blackwell Publishing.</w:t>
      </w:r>
    </w:p>
    <w:p>
      <w:pPr>
        <w:spacing w:after="60" w:line="252" w:lineRule="auto"/>
        <w:ind w:left="403" w:hanging="403"/>
      </w:pPr>
      <w:r>
        <w:rPr>
          <w:sz w:val="18"/>
        </w:rPr>
        <w:t>Dewey, J. (1916). Democracy and education: An introduction to the philosophy of education. Macmillan.</w:t>
      </w:r>
    </w:p>
    <w:p>
      <w:pPr>
        <w:spacing w:after="60" w:line="252" w:lineRule="auto"/>
        <w:ind w:left="403" w:hanging="403"/>
      </w:pPr>
      <w:r>
        <w:rPr>
          <w:sz w:val="18"/>
        </w:rPr>
        <w:t>Dewey, J. (1938). Experience and education. Macmillan.</w:t>
      </w:r>
    </w:p>
    <w:p>
      <w:pPr>
        <w:spacing w:after="60" w:line="252" w:lineRule="auto"/>
        <w:ind w:left="403" w:hanging="403"/>
      </w:pPr>
      <w:r>
        <w:rPr>
          <w:sz w:val="18"/>
        </w:rPr>
        <w:t>Freire, P. (1970). Pedagogy of the oppressed. Herder and Herder.</w:t>
      </w:r>
    </w:p>
    <w:p>
      <w:pPr>
        <w:spacing w:after="60" w:line="252" w:lineRule="auto"/>
        <w:ind w:left="403" w:hanging="403"/>
      </w:pPr>
      <w:r>
        <w:rPr>
          <w:sz w:val="18"/>
        </w:rPr>
        <w:t>Gutek, G. L. (2013). Philosophical, ideological, and theoretical perspectives on education (2nd ed.). Pearson.</w:t>
      </w:r>
    </w:p>
    <w:p>
      <w:pPr>
        <w:spacing w:after="60" w:line="252" w:lineRule="auto"/>
        <w:ind w:left="403" w:hanging="403"/>
      </w:pPr>
      <w:r>
        <w:rPr>
          <w:sz w:val="18"/>
        </w:rPr>
        <w:t>Gutmann, A. (1999). Democratic education (2nd ed.). Princeton University Press.</w:t>
      </w:r>
    </w:p>
    <w:p>
      <w:pPr>
        <w:spacing w:after="60" w:line="252" w:lineRule="auto"/>
        <w:ind w:left="403" w:hanging="403"/>
      </w:pPr>
      <w:r>
        <w:rPr>
          <w:sz w:val="18"/>
        </w:rPr>
        <w:t>Hirst, P. H. (1974). Knowledge and the curriculum: A collection of philosophical papers. Routledge &amp; Kegan Paul.</w:t>
      </w:r>
    </w:p>
    <w:p>
      <w:pPr>
        <w:spacing w:after="60" w:line="252" w:lineRule="auto"/>
        <w:ind w:left="403" w:hanging="403"/>
      </w:pPr>
      <w:r>
        <w:rPr>
          <w:sz w:val="18"/>
        </w:rPr>
        <w:t>hooks, b. (1994). Teaching to transgress: Education as the practice of freedom. Routledge.</w:t>
      </w:r>
    </w:p>
    <w:p>
      <w:pPr>
        <w:spacing w:after="60" w:line="252" w:lineRule="auto"/>
        <w:ind w:left="403" w:hanging="403"/>
      </w:pPr>
      <w:r>
        <w:rPr>
          <w:sz w:val="18"/>
        </w:rPr>
        <w:t>Jones, J. H. (1981). Bad blood: The Tuskegee syphilis experiment. Free Press.</w:t>
      </w:r>
    </w:p>
    <w:p>
      <w:pPr>
        <w:spacing w:after="60" w:line="252" w:lineRule="auto"/>
        <w:ind w:left="403" w:hanging="403"/>
      </w:pPr>
      <w:r>
        <w:rPr>
          <w:sz w:val="18"/>
        </w:rPr>
        <w:t>Kuhn, T. S. (1962). The structure of scientific revolutions. University of Chicago Press.</w:t>
      </w:r>
    </w:p>
    <w:p>
      <w:pPr>
        <w:spacing w:after="60" w:line="252" w:lineRule="auto"/>
        <w:ind w:left="403" w:hanging="403"/>
      </w:pPr>
      <w:r>
        <w:rPr>
          <w:sz w:val="18"/>
        </w:rPr>
        <w:t>Milgram, S. (1974). Obedience to authority: An experimental view. Harper &amp; Row.</w:t>
      </w:r>
    </w:p>
    <w:p>
      <w:pPr>
        <w:spacing w:after="60" w:line="252" w:lineRule="auto"/>
        <w:ind w:left="403" w:hanging="403"/>
      </w:pPr>
      <w:r>
        <w:rPr>
          <w:sz w:val="18"/>
        </w:rPr>
        <w:t>Newman, J. H. (1873). The idea of a university. Pickering.</w:t>
      </w:r>
    </w:p>
    <w:p>
      <w:pPr>
        <w:spacing w:after="60" w:line="252" w:lineRule="auto"/>
        <w:ind w:left="403" w:hanging="403"/>
      </w:pPr>
      <w:r>
        <w:rPr>
          <w:sz w:val="18"/>
        </w:rPr>
        <w:t>Noddings, N. (1984). Caring: A feminine approach to ethics and moral education. University of California Press.</w:t>
      </w:r>
    </w:p>
    <w:p>
      <w:pPr>
        <w:spacing w:after="60" w:line="252" w:lineRule="auto"/>
        <w:ind w:left="403" w:hanging="403"/>
      </w:pPr>
      <w:r>
        <w:rPr>
          <w:sz w:val="18"/>
        </w:rPr>
        <w:t>Nussbaum, M. C. (2010). Not for profit: Why democracy needs the humanities. Princeton University Press.</w:t>
      </w:r>
    </w:p>
    <w:p>
      <w:pPr>
        <w:spacing w:after="60" w:line="252" w:lineRule="auto"/>
        <w:ind w:left="403" w:hanging="403"/>
      </w:pPr>
      <w:r>
        <w:rPr>
          <w:sz w:val="18"/>
        </w:rPr>
        <w:t>Peters, R. S. (1966). Ethics and education. Allen &amp; Unwin.</w:t>
      </w:r>
    </w:p>
    <w:p>
      <w:pPr>
        <w:spacing w:after="60" w:line="252" w:lineRule="auto"/>
        <w:ind w:left="403" w:hanging="403"/>
      </w:pPr>
      <w:r>
        <w:rPr>
          <w:sz w:val="18"/>
        </w:rPr>
        <w:t>Popper, K. R. (1959). The logic of scientific discovery. Hutchinson.</w:t>
      </w:r>
    </w:p>
    <w:p>
      <w:pPr>
        <w:spacing w:after="60" w:line="252" w:lineRule="auto"/>
        <w:ind w:left="403" w:hanging="403"/>
      </w:pPr>
      <w:r>
        <w:rPr>
          <w:sz w:val="18"/>
        </w:rPr>
        <w:t>Rawls, J. (1971). A theory of justice. Harvard University Press.</w:t>
      </w:r>
    </w:p>
    <w:p>
      <w:pPr>
        <w:spacing w:after="60" w:line="252" w:lineRule="auto"/>
        <w:ind w:left="403" w:hanging="403"/>
      </w:pPr>
      <w:r>
        <w:rPr>
          <w:sz w:val="18"/>
        </w:rPr>
        <w:t>Russell, B. (1945). A history of western philosophy. Simon and Schuster.</w:t>
      </w:r>
    </w:p>
    <w:p>
      <w:pPr>
        <w:spacing w:after="60" w:line="252" w:lineRule="auto"/>
        <w:ind w:left="403" w:hanging="403"/>
      </w:pPr>
      <w:r>
        <w:rPr>
          <w:sz w:val="18"/>
        </w:rPr>
        <w:t>Sen, A. (1999). Development as freedom. Oxford University Press.</w:t>
      </w:r>
    </w:p>
    <w:p>
      <w:pPr>
        <w:spacing w:after="60" w:line="252" w:lineRule="auto"/>
        <w:ind w:left="403" w:hanging="403"/>
      </w:pPr>
      <w:r>
        <w:rPr>
          <w:sz w:val="18"/>
        </w:rPr>
        <w:t>Shamoo, A. E., &amp; Resnik, D. B. (2015). Responsible conduct of research (3rd ed.). Oxford University Press.</w:t>
      </w:r>
    </w:p>
    <w:p>
      <w:pPr>
        <w:spacing w:after="60" w:line="252" w:lineRule="auto"/>
        <w:ind w:left="403" w:hanging="403"/>
      </w:pPr>
      <w:r>
        <w:rPr>
          <w:sz w:val="18"/>
        </w:rPr>
        <w:t>Siegel, H. (1988). Educating reason: Rationality, critical thinking, and education. Routledge.</w:t>
      </w:r>
    </w:p>
    <w:p>
      <w:pPr>
        <w:spacing w:after="60" w:line="252" w:lineRule="auto"/>
        <w:ind w:left="403" w:hanging="403"/>
      </w:pPr>
      <w:r>
        <w:rPr>
          <w:sz w:val="18"/>
        </w:rPr>
        <w:t>Siegel, H. (Ed.). (2009). The Oxford handbook of philosophy of education. Oxford University Press.</w:t>
      </w:r>
    </w:p>
    <w:p>
      <w:pPr>
        <w:spacing w:after="60" w:line="252" w:lineRule="auto"/>
        <w:ind w:left="403" w:hanging="403"/>
      </w:pPr>
      <w:r>
        <w:rPr>
          <w:sz w:val="18"/>
        </w:rPr>
        <w:t>Skloot, R. (2010). The immortal life of Henrietta Lacks. Crown Publishers.</w:t>
      </w:r>
    </w:p>
    <w:p>
      <w:pPr>
        <w:spacing w:after="60" w:line="252" w:lineRule="auto"/>
        <w:ind w:left="403" w:hanging="403"/>
      </w:pPr>
      <w:r>
        <w:rPr>
          <w:sz w:val="18"/>
        </w:rPr>
        <w:t>Whitehead, A. N. (1929). The aims of education and other essays. Macmillan.</w:t>
      </w:r>
    </w:p>
    <w:p>
      <w:pPr>
        <w:spacing w:after="60" w:line="252" w:lineRule="auto"/>
        <w:ind w:left="403" w:hanging="403"/>
      </w:pPr>
      <w:r>
        <w:rPr>
          <w:sz w:val="18"/>
        </w:rPr>
        <w:t>Zimbardo, P. G. (2007). The Lucifer effect: Understanding how good people turn evil. Random House.</w:t>
      </w:r>
    </w:p>
    <w:p>
      <w:r>
        <w:rPr>
          <w:b/>
          <w:color w:val="C25E1A"/>
          <w:sz w:val="22"/>
        </w:rPr>
        <w:t>Standards and institutional sources</w:t>
      </w:r>
    </w:p>
    <w:p>
      <w:pPr>
        <w:spacing w:after="60" w:line="252" w:lineRule="auto"/>
        <w:ind w:left="403" w:hanging="403"/>
      </w:pPr>
      <w:r>
        <w:rPr>
          <w:sz w:val="18"/>
        </w:rPr>
        <w:t>ALLEA. (2023). The European code of conduct for research integrity (rev. ed.). https://allea.org/code-of-conduct/</w:t>
      </w:r>
    </w:p>
    <w:p>
      <w:pPr>
        <w:spacing w:after="60" w:line="252" w:lineRule="auto"/>
        <w:ind w:left="403" w:hanging="403"/>
      </w:pPr>
      <w:r>
        <w:rPr>
          <w:sz w:val="18"/>
        </w:rPr>
        <w:t>ICMJE. (2024). Recommendations for the conduct, reporting, editing, and publication of scholarly work in medical journals. https://www.icmje.org/recommendations/</w:t>
      </w:r>
    </w:p>
    <w:p>
      <w:pPr>
        <w:spacing w:after="60" w:line="252" w:lineRule="auto"/>
        <w:ind w:left="403" w:hanging="403"/>
      </w:pPr>
      <w:r>
        <w:rPr>
          <w:sz w:val="18"/>
        </w:rPr>
        <w:t>National Commission for the Protection of Human Subjects of Biomedical and Behavioral Research. (1979). The Belmont Report: Ethical principles and guidelines for the protection of human subjects of research. U.S. Department of Health, Education, and Welfare.</w:t>
      </w:r>
    </w:p>
    <w:p>
      <w:pPr>
        <w:spacing w:after="60" w:line="252" w:lineRule="auto"/>
        <w:ind w:left="403" w:hanging="403"/>
      </w:pPr>
      <w:r>
        <w:rPr>
          <w:sz w:val="18"/>
        </w:rPr>
        <w:t>Singapore Statement on Research Integrity. (2010). https://www.singaporestatement.org/</w:t>
      </w:r>
    </w:p>
    <w:p>
      <w:pPr>
        <w:spacing w:after="60" w:line="252" w:lineRule="auto"/>
        <w:ind w:left="403" w:hanging="403"/>
      </w:pPr>
      <w:r>
        <w:rPr>
          <w:sz w:val="18"/>
        </w:rPr>
        <w:t>Stanford Encyclopedia of Philosophy. (n.d.). Entries on metaphysics, epistemology, ethics, logic, aesthetics, and philosophy of education. Stanford University. https://plato.stanford.edu/</w:t>
      </w:r>
    </w:p>
    <w:p>
      <w:pPr>
        <w:spacing w:after="60" w:line="252" w:lineRule="auto"/>
        <w:ind w:left="403" w:hanging="403"/>
      </w:pPr>
      <w:r>
        <w:rPr>
          <w:sz w:val="18"/>
        </w:rPr>
        <w:t>UNESCO. (2021). Recommendation on the ethics of artificial intelligence. https://www.unesco.org/en/artificial-intelligence/recommendation-ethics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