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https://www.futureskillsprime.in/ and register or log in.</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Digital Application Fundamentals (STEM) journey at https://www.futureskillsprime.in/journey/daf-stem/ and click Enrol.</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https://learning.servicenow.com/now/lxp/home and create your account.</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Sign in and open the Learner home page to confirm the account is active.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https://www.skills.google/.</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Beginner path at https://www.cloudskillsboost.google/paths/118 and complete all four activities.</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Generative AI Leader Certification path at https://www.skills.google/paths/1951.</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five activities in the path.</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Advanced path at https://www.skills.google/paths/183.</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twelve activities, including the hands-on labs that run in the Google Cloud console.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https://trailhead.salesforce.com/.</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trail at https://trailhead.salesforce.com/content/learn/trails/become-an-agentblazer-champion-2026.</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general-purpose text model from the model drop-down list and note its name, for example gemini-2.0-flash.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prompt and copy the response. Record the model name and the generation settings shown in the right-hand panel.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exp01_generate.py.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Export the API key as an environment variable; never hard-code it in the source file.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generative AI and state three of its applications.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token, and why is text generated token by token?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the effect of temperature, top-k and top-p on decoding.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hallucination, and how can its effect be reduced?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Differentiate discriminative and generative models with one example each.</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Download the MNIST dataset. The torchvision loader fetches it automatically on first use into ./data.</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Normalise pixel values to the range [-1, 1] so that the generator's tanh output matches the data range.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Define the discriminator as a stack of linear layers with leaky ReLU and a final sigmoid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Set the loss function to binary cross-entropy and use separate Adam optimisers for G and 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Every few epochs, generate a fixed set of latent vectors and save the decoded images as a grid to inspect progress.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Plot the discriminator and generator losses against the epoch and interpret the trend.</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5    # 5 epochs is lab-scale on CPU</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exp02_gan.py in the project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exp02_gan.py. The MNIST data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the per-epoch loss values printed in the terminal.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gan_samples.png to inspect the generated digits.</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656984"/>
            <wp:docPr id="8" name="Picture 8"/>
            <wp:cNvGraphicFramePr>
              <a:graphicFrameLocks noChangeAspect="1"/>
            </wp:cNvGraphicFramePr>
            <a:graphic>
              <a:graphicData uri="http://schemas.openxmlformats.org/drawingml/2006/picture">
                <pic:pic>
                  <pic:nvPicPr>
                    <pic:cNvPr id="0" name="gan_samples.png"/>
                    <pic:cNvPicPr/>
                  </pic:nvPicPr>
                  <pic:blipFill>
                    <a:blip r:embed="rId18"/>
                    <a:stretch>
                      <a:fillRect/>
                    </a:stretch>
                  </pic:blipFill>
                  <pic:spPr>
                    <a:xfrm>
                      <a:off x="0" y="0"/>
                      <a:ext cx="4680000" cy="4656984"/>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2.1: Samples generated by the GAN after training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State the minimax objective of a GAN and explain each term.</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the non-saturating generator loss preferred in practice?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mode collapse, and how can it be reduced?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the role of the latent vector z?</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tanh activation used at the generator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MNIST dataset and normalise the images to the range [0, 1].</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autoencoder with mean squared error loss and the Adam optimiser, and record the loss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Reconstruct a batch of test images and display the originals beside the reconstructions.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After training, sample latent vectors from a standard normal distribution and decode them to produce new images.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exp03_ae_vae.py.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exp03_ae_vae.py and note the loss printed for each epoch.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9" name="Picture 9"/>
            <wp:cNvGraphicFramePr>
              <a:graphicFrameLocks noChangeAspect="1"/>
            </wp:cNvGraphicFramePr>
            <a:graphic>
              <a:graphicData uri="http://schemas.openxmlformats.org/drawingml/2006/picture">
                <pic:pic>
                  <pic:nvPicPr>
                    <pic:cNvPr id="0" name="vae_samples.png"/>
                    <pic:cNvPicPr/>
                  </pic:nvPicPr>
                  <pic:blipFill>
                    <a:blip r:embed="rId19"/>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3.1: Reconstructions and generated samples produced by the VAE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an autoencoder from a variational autoencoder.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reparameterisation trick and explain why it is needed.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the VAE loss function and explain the KL divergence term.</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a VAE produce blurrier reconstructions than a plain autoencoder?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How is autoencoder reconstruction error used for anomaly detection?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Generate a continuation with model.generate, using a fixed seed and the parameters do_sample=True, temperature and top_p.</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Decode the generated token ids back to text and print the result.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Repeat the generation with different temperature and top-p values and compare the outputs.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Count the total number of parameters in the model and note the context window size.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exp04_transformer.py.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exp04_transformer.py.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printed token list, the two generated continuations and the attention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473110"/>
            <wp:docPr id="10" name="Picture 10"/>
            <wp:cNvGraphicFramePr>
              <a:graphicFrameLocks noChangeAspect="1"/>
            </wp:cNvGraphicFramePr>
            <a:graphic>
              <a:graphicData uri="http://schemas.openxmlformats.org/drawingml/2006/picture">
                <pic:pic>
                  <pic:nvPicPr>
                    <pic:cNvPr id="0" name="attention.png"/>
                    <pic:cNvPicPr/>
                  </pic:nvPicPr>
                  <pic:blipFill>
                    <a:blip r:embed="rId20"/>
                    <a:stretch>
                      <a:fillRect/>
                    </a:stretch>
                  </pic:blipFill>
                  <pic:spPr>
                    <a:xfrm>
                      <a:off x="0" y="0"/>
                      <a:ext cx="4680000" cy="447311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4.1: Attention heat map for layer 0, head 0, produced by the program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Write the scaled dot-product attention formula and explain each symbol.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a causal mask applied in a decoder-only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the purpose of multi-head attention?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are positional encodings required in a transformer?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Explain sub-word tokenisation with an example.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Interpret the numbers: identify whether the ratio falls below 0.8 and which group is disadvantaged.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exp05_fairness.py.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exp05_fairness.py.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selection rates,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bias in AI and give two sources of it.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four-fifths rule and explain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Differentiate demographic parity from equal opportunity.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data minimisation, and why does it matter for privacy?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human oversight necessary for high-stakes decisions?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pandas numpy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sentiment-analysis pipeline with pipeline("sentiment-analysis", model="distilbert-base-uncased-finetuned-sst-2-english").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classifier over the list and record the predicted label and the confidence score for each review.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Load a summarisation pipeline with pipeline("summarization", model="t5-small").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Compute the accuracy of the classifier on your labelled sample and record it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exp06_nlp.py.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exp06_nlp.py.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per-review sentiment labels and the generated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extractive and abstractive summarisation.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T5 text-to-text framework handle different tasks?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precision, recall and F1 score for a sentiment classifier.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sarcasm difficult for a sentiment model?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ROUGE, and what does it measure?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Fashion-MNIST with transforms that convert the images to tensors and normalise them.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Display a small grid of test images with the true and predicted labels to inspect the errors visually.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Train the GAN on the Fashion-MNIST training split and save sample grids every few epochs.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Compare the GAN samples with the real images and note which categories are recognisable.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range(2):</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range(3):    # lab-scale: fewer epochs on CPU</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exp07_fashion.py.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exp07_fashion.py. Fashion-MNIST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accuracy printed at the end of each classification epoch.</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11" name="Picture 11"/>
            <wp:cNvGraphicFramePr>
              <a:graphicFrameLocks noChangeAspect="1"/>
            </wp:cNvGraphicFramePr>
            <a:graphic>
              <a:graphicData uri="http://schemas.openxmlformats.org/drawingml/2006/picture">
                <pic:pic>
                  <pic:nvPicPr>
                    <pic:cNvPr id="0" name="fashion_gan.png"/>
                    <pic:cNvPicPr/>
                  </pic:nvPicPr>
                  <pic:blipFill>
                    <a:blip r:embed="rId21"/>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7.1: Garment images generated by the GAN trained on Fashion-MNIST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Explain the role of convolution and pooling in a CNN.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Fashion-MNIST harder than MNIST?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does max pooling help achieve translation invariance?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a GAN differ from a CNN in its objective?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Which clothing classes are most often confused, and why?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List the subjects, the examination dates and the number of study hours available each day.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a weak prompt, for example “Make me a study timetable”, and run it. Note what is missing from the output.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Add an explicit format instruction, for example a table with columns for day, subject, start time, end time and activity.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Add a constraint that requires revision breaks and a weekly revision day.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prompt engineering and list its main techniques.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one-shot and few-shot prompting.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chain-of-thought prompting, and when is it useful?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specifying an output format improve reliability?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are the risks of over-constraining a prompt?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Open Google AI Studio at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Gemini model from the model list and note its exact identifier.</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Use the Get code option in the studio to display the equivalent Python call and compare it with the program below.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Create an API key from the API keys page at https://aistudio.google.com/apikey and copy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Save and run the program below, which sends a prompt with a system instruction and prints the response.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Modify the system instruction and the temperature and observe how the responses change.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exp09_gemini.py.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Export the API key as described in the procedure.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Run python exp09_gemini.py and read the printed responses.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Google AI Studio from Vertex 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system instruction, and how does it differ from a user prompt?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should an API key never be hard-coded in source code?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the SDK maintain state in a multi-turn chat?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does the max_output_tokens parameter control?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Export the Gemini API key as described in Experiment 9 and 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Ask a question that requires a tool, for example “What is today's date and what is 27 multiplied by 43?”.</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Observe from the printed output which tools the model selected and with which arguments.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a question that needs no tool and confirm that the model answers directly.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exp10_agent.py.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exp10_agent.py.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which tools are called for the first question and that no tool is called for the second.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AI agent and describe its decision loop.</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model know which tool to call?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automatic function calling?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a step limit necessary?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Give two guardrails for an agent that can modify a database.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datasets torch peft scikit-learn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small labelled text-classification dataset, for example the SST-2 sentiment dataset from the datasets library.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Print the number of trainable parameters and the total parameters to show the size of the adapter relative to the model.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Evaluate the fine-tuned model on the same test items and record the accuracy.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exp11_finetune.py.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exp11_finetune.py. The dataset and the base model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 foundation model and give two examples.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few-shot and fine-tuned adaptation.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how LoRA reduces the number of trainable parameters.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do the rank r and the scaling factor alpha control in LoRA?</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adapter saved separately from the base model?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numpy scikit-learn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Prepare a list of at least ten short course descriptions covering different subjects.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Load the embedding model all-MiniLM-L6-v2 with SentenceTransformer.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Choose a query that uses different wording from the stored descriptions, for example “beginner course on machine learning”.</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Encode the query, compute the cosine similarity against every document vector, and sort the results in descending order.</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Print the top three matches with their similarity scores.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exp12_embeddings.py.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exp12_embeddings.py.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top three matches for each query and the keyword baseline.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3202533"/>
            <wp:docPr id="12" name="Picture 12"/>
            <wp:cNvGraphicFramePr>
              <a:graphicFrameLocks noChangeAspect="1"/>
            </wp:cNvGraphicFramePr>
            <a:graphic>
              <a:graphicData uri="http://schemas.openxmlformats.org/drawingml/2006/picture">
                <pic:pic>
                  <pic:nvPicPr>
                    <pic:cNvPr id="0" name="embeddings.png"/>
                    <pic:cNvPicPr/>
                  </pic:nvPicPr>
                  <pic:blipFill>
                    <a:blip r:embed="rId22"/>
                    <a:stretch>
                      <a:fillRect/>
                    </a:stretch>
                  </pic:blipFill>
                  <pic:spPr>
                    <a:xfrm>
                      <a:off x="0" y="0"/>
                      <a:ext cx="4680000" cy="320253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12.1: Course-title embeddings projected to two dimensions using PCA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embedding and state its dimensionality for a typical model.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does semantic search outperform keyword search?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does the cosine similarity measure?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must embeddings be normalised before a dot-product search?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approximate nearest-neighbour search, and why is it used?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transformers torch pillow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small document set of four to six short medical reference paragraphs stored as strings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the documents with a sentence-embedding model and normalise the vectors.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Load an image-captioning pipeline such as pipeline("image-to-text", model="nlpconnect/vit-gpt2-image-captioning").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Provide a sample medical image and generate a caption for it.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exp13_rag.py and place sample_medical_image.jpg in the same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exp13_rag.py.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Check that the printed answer matches the retrieved hypertension passage.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retrieval-augmented generation and state its two stages.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RAG reduce hallucination compared with a plain language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multimodal RAG?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Explain how an image-captioning model produces a caption.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must a medical AI system be treated as decision support only?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scikit-learn pandas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Split the data into training and test sets and train a logistic-regression classifier on the training 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Evaluate the model's accuracy on the test 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Compute the selection rate of each group,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Compute the true-positive rate of each group and the equal-opportunity difference.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selection rates and the true-positive rates before and after mitigation as a bar chart.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exp14_recruitment.py.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exp14_recruitment.py.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metrics printed before and after mitigation and the group thresholds.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846703"/>
            <wp:docPr id="13" name="Picture 13"/>
            <wp:cNvGraphicFramePr>
              <a:graphicFrameLocks noChangeAspect="1"/>
            </wp:cNvGraphicFramePr>
            <a:graphic>
              <a:graphicData uri="http://schemas.openxmlformats.org/drawingml/2006/picture">
                <pic:pic>
                  <pic:nvPicPr>
                    <pic:cNvPr id="0" name="fairness.png"/>
                    <pic:cNvPicPr/>
                  </pic:nvPicPr>
                  <pic:blipFill>
                    <a:blip r:embed="rId23"/>
                    <a:stretch>
                      <a:fillRect/>
                    </a:stretch>
                  </pic:blipFill>
                  <pic:spPr>
                    <a:xfrm>
                      <a:off x="0" y="0"/>
                      <a:ext cx="4680000" cy="284670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14.1: Selection rates and the four-fifths rule before and after post-processing mitigation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demographic parity and equal opportunity.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Explain the disparate impact ratio and the four-fifths rule.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two ways bias can enter a recruitment dataset.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Differentiate pre-processing, in-processing and post-processing mitigation.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can fairness metrics not all be satisfied simultaneously?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pytest pandas numpy matplotlib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test set of at least ten question-and-reference-answer pairs, or use the synthetic set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Run the suite with pytest and record which tests pass and which fail.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daily mean quality score and the latency, and mark the alert threshold.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stub application as app.py and the suite as test_app.py, and run pytest -v to execute the tests.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Save the monitoring code as monitor.py and run python monitor.py to print the report and write monitoring.png.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Replace the stub answer function with a real model call and re-run the suite to test the live application.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415616"/>
            <wp:docPr id="14" name="Picture 14"/>
            <wp:cNvGraphicFramePr>
              <a:graphicFrameLocks noChangeAspect="1"/>
            </wp:cNvGraphicFramePr>
            <a:graphic>
              <a:graphicData uri="http://schemas.openxmlformats.org/drawingml/2006/picture">
                <pic:pic>
                  <pic:nvPicPr>
                    <pic:cNvPr id="0" name="monitoring.png"/>
                    <pic:cNvPicPr/>
                  </pic:nvPicPr>
                  <pic:blipFill>
                    <a:blip r:embed="rId24"/>
                    <a:stretch>
                      <a:fillRect/>
                    </a:stretch>
                  </pic:blipFill>
                  <pic:spPr>
                    <a:xfrm>
                      <a:off x="0" y="0"/>
                      <a:ext cx="4680000" cy="24156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15.1: Monitoring report showing daily quality and latency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Why is testing a generative AI application different from testing ordinary software?</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Give an example of a functional, a quality and a safety test.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prompt injection, and how can it be mitigated?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Which metrics would you monitor for a deployed generative AI service?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 canary release, and why is it useful?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Goodfellow, I. et al., “Generative Adversarial Networks”, 2014. Available at https://arxiv.org/abs/1406.2661</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Kingma, D. P. and Welling, M., “Auto-Encoding Variational Bayes”, 2013. Available at https://arxiv.org/abs/1312.6114</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Hu, E. J. et al., “LoRA: Low-Rank Adaptation of Large Language Models”, 2021. Available at https://arxiv.org/abs/2106.09685</w:t>
      </w:r>
    </w:p>
    <w:p>
      <w:pPr>
        <w:spacing w:before="0" w:after="40" w:line="276" w:lineRule="auto"/>
        <w:ind w:left="482" w:hanging="312"/>
      </w:pPr>
      <w:r>
        <w:rPr>
          <w:rFonts w:ascii="Times New Roman" w:hAnsi="Times New Roman" w:cs="Times New Roman" w:eastAsia="Times New Roman"/>
          <w:b w:val="0"/>
          <w:i w:val="0"/>
          <w:sz w:val="22"/>
        </w:rPr>
        <w:t xml:space="preserve">6. </w:t>
      </w: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spacing w:before="0" w:after="40" w:line="276" w:lineRule="auto"/>
        <w:ind w:left="482" w:hanging="312"/>
      </w:pPr>
      <w:r>
        <w:rPr>
          <w:rFonts w:ascii="Times New Roman" w:hAnsi="Times New Roman" w:cs="Times New Roman" w:eastAsia="Times New Roman"/>
          <w:b w:val="0"/>
          <w:i w:val="0"/>
          <w:sz w:val="22"/>
        </w:rPr>
        <w:t xml:space="preserve">7. </w:t>
      </w: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spacing w:before="0" w:after="40" w:line="276" w:lineRule="auto"/>
        <w:ind w:left="482" w:hanging="312"/>
      </w:pPr>
      <w:r>
        <w:rPr>
          <w:rFonts w:ascii="Times New Roman" w:hAnsi="Times New Roman" w:cs="Times New Roman" w:eastAsia="Times New Roman"/>
          <w:b w:val="0"/>
          <w:i w:val="0"/>
          <w:sz w:val="22"/>
        </w:rPr>
        <w:t xml:space="preserve">8. </w:t>
      </w:r>
      <w:r>
        <w:rPr>
          <w:rFonts w:ascii="Times New Roman" w:hAnsi="Times New Roman" w:cs="Times New Roman" w:eastAsia="Times New Roman"/>
          <w:b w:val="0"/>
          <w:i w:val="0"/>
          <w:sz w:val="22"/>
        </w:rPr>
        <w:t>Google AI for Developers, Gemini API documentation. Available at https://ai.google.dev/gemini-api/docs</w:t>
      </w:r>
    </w:p>
    <w:p>
      <w:pPr>
        <w:spacing w:before="0" w:after="40" w:line="276" w:lineRule="auto"/>
        <w:ind w:left="482" w:hanging="312"/>
      </w:pPr>
      <w:r>
        <w:rPr>
          <w:rFonts w:ascii="Times New Roman" w:hAnsi="Times New Roman" w:cs="Times New Roman" w:eastAsia="Times New Roman"/>
          <w:b w:val="0"/>
          <w:i w:val="0"/>
          <w:sz w:val="22"/>
        </w:rPr>
        <w:t xml:space="preserve">9. </w:t>
      </w:r>
      <w:r>
        <w:rPr>
          <w:rFonts w:ascii="Times New Roman" w:hAnsi="Times New Roman" w:cs="Times New Roman" w:eastAsia="Times New Roman"/>
          <w:b w:val="0"/>
          <w:i w:val="0"/>
          <w:sz w:val="22"/>
        </w:rPr>
        <w:t>Google AI for Developers, Google Gen AI SDK for Python. Available at https://googleapis.github.io/python-genai/</w:t>
      </w:r>
    </w:p>
    <w:p>
      <w:pPr>
        <w:spacing w:before="0" w:after="40" w:line="276" w:lineRule="auto"/>
        <w:ind w:left="482" w:hanging="312"/>
      </w:pPr>
      <w:r>
        <w:rPr>
          <w:rFonts w:ascii="Times New Roman" w:hAnsi="Times New Roman" w:cs="Times New Roman" w:eastAsia="Times New Roman"/>
          <w:b w:val="0"/>
          <w:i w:val="0"/>
          <w:sz w:val="22"/>
        </w:rPr>
        <w:t xml:space="preserve">10. </w:t>
      </w:r>
      <w:r>
        <w:rPr>
          <w:rFonts w:ascii="Times New Roman" w:hAnsi="Times New Roman" w:cs="Times New Roman" w:eastAsia="Times New Roman"/>
          <w:b w:val="0"/>
          <w:i w:val="0"/>
          <w:sz w:val="22"/>
        </w:rPr>
        <w:t>Hugging Face, Transformers documentation. Available at https://huggingface.co/docs/transformers</w:t>
      </w:r>
    </w:p>
    <w:p>
      <w:pPr>
        <w:spacing w:before="0" w:after="40" w:line="276" w:lineRule="auto"/>
        <w:ind w:left="482" w:hanging="312"/>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Hugging Face, PEFT documentation. Available at https://huggingface.co/docs/peft</w:t>
      </w:r>
    </w:p>
    <w:p>
      <w:pPr>
        <w:spacing w:before="0" w:after="40" w:line="276" w:lineRule="auto"/>
        <w:ind w:left="482" w:hanging="312"/>
      </w:pPr>
      <w:r>
        <w:rPr>
          <w:rFonts w:ascii="Times New Roman" w:hAnsi="Times New Roman" w:cs="Times New Roman" w:eastAsia="Times New Roman"/>
          <w:b w:val="0"/>
          <w:i w:val="0"/>
          <w:sz w:val="22"/>
        </w:rPr>
        <w:t xml:space="preserve">12. </w:t>
      </w:r>
      <w:r>
        <w:rPr>
          <w:rFonts w:ascii="Times New Roman" w:hAnsi="Times New Roman" w:cs="Times New Roman" w:eastAsia="Times New Roman"/>
          <w:b w:val="0"/>
          <w:i w:val="0"/>
          <w:sz w:val="22"/>
        </w:rPr>
        <w:t>PyTorch, PyTorch documentation. Available at https://pytorch.org/docs/stable/</w:t>
      </w:r>
    </w:p>
    <w:p>
      <w:pPr>
        <w:spacing w:before="0" w:after="40" w:line="276" w:lineRule="auto"/>
        <w:ind w:left="482" w:hanging="312"/>
      </w:pPr>
      <w:r>
        <w:rPr>
          <w:rFonts w:ascii="Times New Roman" w:hAnsi="Times New Roman" w:cs="Times New Roman" w:eastAsia="Times New Roman"/>
          <w:b w:val="0"/>
          <w:i w:val="0"/>
          <w:sz w:val="22"/>
        </w:rPr>
        <w:t xml:space="preserve">13. </w:t>
      </w:r>
      <w:r>
        <w:rPr>
          <w:rFonts w:ascii="Times New Roman" w:hAnsi="Times New Roman" w:cs="Times New Roman" w:eastAsia="Times New Roman"/>
          <w:b w:val="0"/>
          <w:i w:val="0"/>
          <w:sz w:val="22"/>
        </w:rPr>
        <w:t>scikit-learn, User guide. Available at https://scikit-learn.org/stable/user_guide.html</w:t>
      </w:r>
    </w:p>
    <w:p>
      <w:pPr>
        <w:spacing w:before="0" w:after="40" w:line="276" w:lineRule="auto"/>
        <w:ind w:left="482" w:hanging="312"/>
      </w:pPr>
      <w:r>
        <w:rPr>
          <w:rFonts w:ascii="Times New Roman" w:hAnsi="Times New Roman" w:cs="Times New Roman" w:eastAsia="Times New Roman"/>
          <w:b w:val="0"/>
          <w:i w:val="0"/>
          <w:sz w:val="22"/>
        </w:rPr>
        <w:t xml:space="preserve">14. </w:t>
      </w: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spacing w:before="0" w:after="40" w:line="276" w:lineRule="auto"/>
        <w:ind w:left="482" w:hanging="312"/>
      </w:pPr>
      <w:r>
        <w:rPr>
          <w:rFonts w:ascii="Times New Roman" w:hAnsi="Times New Roman" w:cs="Times New Roman" w:eastAsia="Times New Roman"/>
          <w:b w:val="0"/>
          <w:i w:val="0"/>
          <w:sz w:val="22"/>
        </w:rPr>
        <w:t xml:space="preserve">15. </w:t>
      </w: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spacing w:before="0" w:after="40" w:line="276" w:lineRule="auto"/>
        <w:ind w:left="482" w:hanging="312"/>
      </w:pPr>
      <w:r>
        <w:rPr>
          <w:rFonts w:ascii="Times New Roman" w:hAnsi="Times New Roman" w:cs="Times New Roman" w:eastAsia="Times New Roman"/>
          <w:b w:val="0"/>
          <w:i w:val="0"/>
          <w:sz w:val="22"/>
        </w:rPr>
        <w:t xml:space="preserve">16. </w:t>
      </w: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