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SWTID-2026-5148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/>
      <w:r>
        <w:rPr>
          <w:b/>
          <w:sz w:val="20"/>
        </w:rPr>
        <w:t xml:space="preserve">Team: </w:t>
      </w:r>
      <w:r>
        <w:rPr>
          <w:sz w:val="20"/>
        </w:rPr>
        <w:t>Mathangi S (Team Leader), Meena Varshini T P, Mirthika R, Muthu Priya U  |  Team Size: 4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rPr>
          <w:b/>
        </w:rPr>
        <w:t>Prioritization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5800"/>
          </w:tcPr>
          <w:p>
            <w:r/>
            <w:r>
              <w:rPr>
                <w:b/>
                <w:sz w:val="19"/>
              </w:rPr>
              <w:t>Idea</w:t>
            </w:r>
          </w:p>
        </w:tc>
        <w:tc>
          <w:tcPr>
            <w:tcW w:type="dxa" w:w="1300"/>
          </w:tcPr>
          <w:p>
            <w:r/>
            <w:r>
              <w:rPr>
                <w:b/>
                <w:sz w:val="19"/>
              </w:rPr>
              <w:t>Importance</w:t>
            </w:r>
          </w:p>
        </w:tc>
        <w:tc>
          <w:tcPr>
            <w:tcW w:type="dxa" w:w="1300"/>
          </w:tcPr>
          <w:p>
            <w:r/>
            <w:r>
              <w:rPr>
                <w:b/>
                <w:sz w:val="19"/>
              </w:rPr>
              <w:t>Feasibility</w:t>
            </w:r>
          </w:p>
        </w:tc>
        <w:tc>
          <w:tcPr>
            <w:tcW w:type="dxa" w:w="1400"/>
          </w:tcPr>
          <w:p>
            <w:r/>
            <w:r>
              <w:rPr>
                <w:b/>
                <w:sz w:val="19"/>
              </w:rPr>
              <w:t>Decision</w:t>
            </w:r>
          </w:p>
        </w:tc>
      </w:tr>
      <w:tr>
        <w:tc>
          <w:tcPr>
            <w:tcW w:type="dxa" w:w="5800"/>
          </w:tcPr>
          <w:p>
            <w:r/>
            <w:r>
              <w:rPr>
                <w:b w:val="0"/>
                <w:sz w:val="19"/>
              </w:rPr>
              <w:t>1. UI Policy – Assignment group mandatory when Impact = High (Reverse if false)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9"/>
              </w:rPr>
              <w:t>Implement</w:t>
            </w:r>
          </w:p>
        </w:tc>
      </w:tr>
      <w:tr>
        <w:tc>
          <w:tcPr>
            <w:tcW w:type="dxa" w:w="5800"/>
          </w:tcPr>
          <w:p>
            <w:r/>
            <w:r>
              <w:rPr>
                <w:b w:val="0"/>
                <w:sz w:val="19"/>
              </w:rPr>
              <w:t>2. UI Policy Action – Urgency read-only for High impact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9"/>
              </w:rPr>
              <w:t>Implement</w:t>
            </w:r>
          </w:p>
        </w:tc>
      </w:tr>
      <w:tr>
        <w:tc>
          <w:tcPr>
            <w:tcW w:type="dxa" w:w="5800"/>
          </w:tcPr>
          <w:p>
            <w:r/>
            <w:r>
              <w:rPr>
                <w:b w:val="0"/>
                <w:sz w:val="19"/>
              </w:rPr>
              <w:t>3. onChange Client Script – auto-set Urgency = High when Impact = High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9"/>
              </w:rPr>
              <w:t>Implement</w:t>
            </w:r>
          </w:p>
        </w:tc>
      </w:tr>
      <w:tr>
        <w:tc>
          <w:tcPr>
            <w:tcW w:type="dxa" w:w="5800"/>
          </w:tcPr>
          <w:p>
            <w:r/>
            <w:r>
              <w:rPr>
                <w:b w:val="0"/>
                <w:sz w:val="19"/>
              </w:rPr>
              <w:t>4. onSubmit Client Script – block save if Assigned To is empty for High impact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9"/>
              </w:rPr>
              <w:t>Implement</w:t>
            </w:r>
          </w:p>
        </w:tc>
      </w:tr>
      <w:tr>
        <w:tc>
          <w:tcPr>
            <w:tcW w:type="dxa" w:w="5800"/>
          </w:tcPr>
          <w:p>
            <w:r/>
            <w:r>
              <w:rPr>
                <w:b w:val="0"/>
                <w:sz w:val="19"/>
              </w:rPr>
              <w:t>5. onCellEdit Client Script – block State edit from list view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Medium-High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9"/>
              </w:rPr>
              <w:t>Implement</w:t>
            </w:r>
          </w:p>
        </w:tc>
      </w:tr>
      <w:tr>
        <w:tc>
          <w:tcPr>
            <w:tcW w:type="dxa" w:w="5800"/>
          </w:tcPr>
          <w:p>
            <w:r/>
            <w:r>
              <w:rPr>
                <w:b w:val="0"/>
                <w:sz w:val="19"/>
              </w:rPr>
              <w:t>6. Data Policy / Business Rule for server-side enforcement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9"/>
              </w:rPr>
              <w:t>Future scope</w:t>
            </w:r>
          </w:p>
        </w:tc>
      </w:tr>
      <w:tr>
        <w:tc>
          <w:tcPr>
            <w:tcW w:type="dxa" w:w="5800"/>
          </w:tcPr>
          <w:p>
            <w:r/>
            <w:r>
              <w:rPr>
                <w:b w:val="0"/>
                <w:sz w:val="19"/>
              </w:rPr>
              <w:t>7. Notify manager on High-impact incidents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9"/>
              </w:rPr>
              <w:t>Future scope</w:t>
            </w:r>
          </w:p>
        </w:tc>
      </w:tr>
      <w:tr>
        <w:tc>
          <w:tcPr>
            <w:tcW w:type="dxa" w:w="5800"/>
          </w:tcPr>
          <w:p>
            <w:r/>
            <w:r>
              <w:rPr>
                <w:b w:val="0"/>
                <w:sz w:val="19"/>
              </w:rPr>
              <w:t>8. Bulk-update guard / ACL on State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Medium-High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9"/>
              </w:rPr>
              <w:t>Future scope</w:t>
            </w:r>
          </w:p>
        </w:tc>
      </w:tr>
      <w:tr>
        <w:tc>
          <w:tcPr>
            <w:tcW w:type="dxa" w:w="5800"/>
          </w:tcPr>
          <w:p>
            <w:r/>
            <w:r>
              <w:rPr>
                <w:b w:val="0"/>
                <w:sz w:val="19"/>
              </w:rPr>
              <w:t>9. SLA warning banner on the form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9"/>
              </w:rPr>
              <w:t>Not selected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