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1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SWTID-2026-5148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/>
      <w:r>
        <w:rPr>
          <w:b/>
          <w:sz w:val="20"/>
        </w:rPr>
        <w:t xml:space="preserve">Team: </w:t>
      </w:r>
      <w:r>
        <w:rPr>
          <w:sz w:val="20"/>
        </w:rPr>
        <w:t>Mathangi S (Team Leader), Meena Varshini T P, Mirthika R, Muthu Priya U  |  Team Size: 4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Conditional Field Control (UI Policy)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High Impact Control UI Policy on Incident / Condition: Impact is 1 – High / Assignment group becomes mandatory / Reverse if false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>UI Policy Action – Urgency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>Urgency set to read-only when the condition is met / Visible left unchanged / Field returns to editable when the condition is not met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>Auto-population (onChange Client Script)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>Runs when Impact changes / Sets Urgency to 1 – High when Impact = High / Shows an information message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Save-time Validation (onSubmit Client Script)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>Checks Assigned To when Impact = High / Shows an error on the field and stops the save / Allows save when valid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>FR-5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>List-edit Restriction (onCellEdit Client Script)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>Monitors the State field in the list view / Shows an alert / Cancels the edit so State remains unchanged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>FR-6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  <w:t>Form-based Updates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>State can still be changed on the Incident form / Other fields keep following the UI Policy and Client Script rules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>FR-7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  <w:t>Configuration &amp; Testing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>Create policies and scripts under System UI / Run test activities: mandatory enforcement, successful save, reverse condition, list-edit blocking, form update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>Usability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>Clear, short messages (info message, field error, alert) guide the agent; mandatory and read-only fields are visibly marked on the form.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>Security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>Configuration is limited to users with administrative access; the form is accessed over the platform's role-based, authenticated session. Client scripts support, but do not replace, server-side enforcement.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>Reliability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>Rules are applied consistently every time the Impact field changes or a record is submitted; Reverse if false restores the fields correctly.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>Validations run in the browser through lightweight scripts, with no extra server round trip for the checks.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>The solution runs on the ServiceNow cloud instance and is available whenever the instance is available.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>Scalability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>Policies and scripts are defined once on the Incident table and apply to all Incident records and users without extra setup.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