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eastAsia="Times New Roman"/>
          <w:b/>
          <w:i w:val="0"/>
          <w:sz w:val="36"/>
        </w:rPr>
        <w:t>ServiceNow Development</w:t>
      </w:r>
    </w:p>
    <w:p>
      <w:pPr>
        <w:spacing w:after="160" w:before="0"/>
        <w:jc w:val="center"/>
      </w:pPr>
      <w:r>
        <w:rPr>
          <w:rFonts w:ascii="Times New Roman" w:hAnsi="Times New Roman" w:eastAsia="Times New Roman"/>
          <w:b/>
          <w:i w:val="0"/>
          <w:sz w:val="36"/>
        </w:rPr>
        <w:t>Project Documentation format</w:t>
      </w:r>
    </w:p>
    <w:tbl>
      <w:tblPr>
        <w:tblStyle w:val="TableGrid"/>
        <w:tblW w:type="auto" w:w="0"/>
        <w:jc w:val="center"/>
        <w:tblLook w:firstColumn="1" w:firstRow="1" w:lastColumn="0" w:lastRow="0" w:noHBand="0" w:noVBand="1" w:val="04A0"/>
      </w:tblPr>
      <w:tblGrid>
        <w:gridCol w:w="4680"/>
        <w:gridCol w:w="4680"/>
      </w:tblGrid>
      <w:tr>
        <w:tc>
          <w:tcPr>
            <w:tcW w:type="dxa" w:w="2304"/>
          </w:tcPr>
          <w:p>
            <w:r/>
            <w:r>
              <w:rPr>
                <w:rFonts w:ascii="Times New Roman" w:hAnsi="Times New Roman" w:eastAsia="Times New Roman"/>
                <w:b/>
                <w:sz w:val="22"/>
              </w:rPr>
              <w:t>Date</w:t>
            </w:r>
          </w:p>
        </w:tc>
        <w:tc>
          <w:tcPr>
            <w:tcW w:type="dxa" w:w="6192"/>
          </w:tcPr>
          <w:p>
            <w:r/>
            <w:r>
              <w:rPr>
                <w:rFonts w:ascii="Times New Roman" w:hAnsi="Times New Roman" w:eastAsia="Times New Roman"/>
                <w:b w:val="0"/>
                <w:sz w:val="22"/>
              </w:rPr>
              <w:t>1 October 2026</w:t>
            </w:r>
          </w:p>
        </w:tc>
      </w:tr>
      <w:tr>
        <w:tc>
          <w:tcPr>
            <w:tcW w:type="dxa" w:w="2304"/>
          </w:tcPr>
          <w:p>
            <w:r/>
            <w:r>
              <w:rPr>
                <w:rFonts w:ascii="Times New Roman" w:hAnsi="Times New Roman" w:eastAsia="Times New Roman"/>
                <w:b/>
                <w:sz w:val="22"/>
              </w:rPr>
              <w:t>Team ID</w:t>
            </w:r>
          </w:p>
        </w:tc>
        <w:tc>
          <w:tcPr>
            <w:tcW w:type="dxa" w:w="6192"/>
          </w:tcPr>
          <w:p>
            <w:r/>
            <w:r>
              <w:rPr>
                <w:rFonts w:ascii="Times New Roman" w:hAnsi="Times New Roman" w:eastAsia="Times New Roman"/>
                <w:b w:val="0"/>
                <w:sz w:val="22"/>
              </w:rPr>
              <w:t>SWTID-2026-5148</w:t>
            </w:r>
          </w:p>
        </w:tc>
      </w:tr>
      <w:tr>
        <w:tc>
          <w:tcPr>
            <w:tcW w:type="dxa" w:w="2304"/>
          </w:tcPr>
          <w:p>
            <w:r/>
            <w:r>
              <w:rPr>
                <w:rFonts w:ascii="Times New Roman" w:hAnsi="Times New Roman" w:eastAsia="Times New Roman"/>
                <w:b/>
                <w:sz w:val="22"/>
              </w:rPr>
              <w:t>Project Name</w:t>
            </w:r>
          </w:p>
        </w:tc>
        <w:tc>
          <w:tcPr>
            <w:tcW w:type="dxa" w:w="6192"/>
          </w:tcPr>
          <w:p>
            <w:r/>
            <w:r>
              <w:rPr>
                <w:rFonts w:ascii="Times New Roman" w:hAnsi="Times New Roman" w:eastAsia="Times New Roman"/>
                <w:b w:val="0"/>
                <w:sz w:val="22"/>
              </w:rPr>
              <w:t>Implement Client Script &amp; UI Policy (Incident)</w:t>
            </w:r>
          </w:p>
        </w:tc>
      </w:tr>
      <w:tr>
        <w:tc>
          <w:tcPr>
            <w:tcW w:type="dxa" w:w="2304"/>
          </w:tcPr>
          <w:p>
            <w:r/>
            <w:r>
              <w:rPr>
                <w:rFonts w:ascii="Times New Roman" w:hAnsi="Times New Roman" w:eastAsia="Times New Roman"/>
                <w:b/>
                <w:sz w:val="22"/>
              </w:rPr>
              <w:t>Team Size</w:t>
            </w:r>
          </w:p>
        </w:tc>
        <w:tc>
          <w:tcPr>
            <w:tcW w:type="dxa" w:w="6192"/>
          </w:tcPr>
          <w:p>
            <w:r/>
            <w:r>
              <w:rPr>
                <w:rFonts w:ascii="Times New Roman" w:hAnsi="Times New Roman" w:eastAsia="Times New Roman"/>
                <w:b w:val="0"/>
                <w:sz w:val="22"/>
              </w:rPr>
              <w:t>4</w:t>
            </w:r>
          </w:p>
        </w:tc>
      </w:tr>
    </w:tbl>
    <w:p>
      <w:pPr>
        <w:spacing w:after="40" w:before="0"/>
      </w:pPr>
    </w:p>
    <w:p>
      <w:pPr>
        <w:keepNext/>
        <w:spacing w:after="120" w:before="200"/>
      </w:pPr>
      <w:r>
        <w:rPr>
          <w:rFonts w:ascii="Times New Roman" w:hAnsi="Times New Roman" w:eastAsia="Times New Roman"/>
          <w:b/>
          <w:i w:val="0"/>
          <w:sz w:val="28"/>
        </w:rPr>
        <w:t>1. Introduction</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Project Title: </w:t>
      </w:r>
      <w:r>
        <w:rPr>
          <w:rFonts w:ascii="Times New Roman" w:hAnsi="Times New Roman" w:eastAsia="Times New Roman"/>
          <w:sz w:val="23"/>
        </w:rPr>
        <w:t>Implement Client Script &amp; UI Policy (Incident)</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Team Members: </w:t>
      </w:r>
      <w:r>
        <w:rPr>
          <w:rFonts w:ascii="Times New Roman" w:hAnsi="Times New Roman" w:eastAsia="Times New Roman"/>
          <w:sz w:val="23"/>
        </w:rPr>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Mathangi S – Team Leader – coordination, UI Policy configuration (High Impact Control) and review</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Meena Varshini T P – Team Member – Urgency read-only action, reverse behaviour and caller scenario</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Mirthika R – Team Member – Client Scripts (onChange, onSubmit, onCellEdit)</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Muthu Priya U – Team Member – testing, State update and test documentation</w:t>
      </w:r>
    </w:p>
    <w:p>
      <w:pPr>
        <w:keepNext/>
        <w:spacing w:after="120" w:before="200"/>
      </w:pPr>
      <w:r>
        <w:rPr>
          <w:rFonts w:ascii="Times New Roman" w:hAnsi="Times New Roman" w:eastAsia="Times New Roman"/>
          <w:b/>
          <w:i w:val="0"/>
          <w:sz w:val="28"/>
        </w:rPr>
        <w:t>2. Project Overview</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Purpose: </w:t>
      </w:r>
      <w:r>
        <w:rPr>
          <w:rFonts w:ascii="Times New Roman" w:hAnsi="Times New Roman" w:eastAsia="Times New Roman"/>
          <w:sz w:val="23"/>
        </w:rPr>
        <w:t>To demonstrate how ServiceNow client-side controls (UI Policies and Client Scripts) can enforce data integrity on Incident records, so that incidents are created with complete and valid information, improving data quality, SLA compliance and service quality.</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Features: </w:t>
      </w:r>
      <w:r>
        <w:rPr>
          <w:rFonts w:ascii="Times New Roman" w:hAnsi="Times New Roman" w:eastAsia="Times New Roman"/>
          <w:sz w:val="23"/>
        </w:rPr>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UI Policy "High Impact Control": when Impact = 1 – High, Assignment group becomes mandatory (Reverse if false enabled).</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UI Policy Action: Urgency becomes read-only when Impact is High.</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onChange Client Script: automatically sets Urgency to High and shows an information message when Impact is changed to High.</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onSubmit Client Script: blocks saving a High-impact Incident when Assigned To is empty and shows an error on the field.</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onCellEdit Client Script: blocks changes to the State field made directly from the list view.</w:t>
      </w:r>
    </w:p>
    <w:p>
      <w:pPr>
        <w:keepNext/>
        <w:spacing w:after="120" w:before="200"/>
      </w:pPr>
      <w:r>
        <w:rPr>
          <w:rFonts w:ascii="Times New Roman" w:hAnsi="Times New Roman" w:eastAsia="Times New Roman"/>
          <w:b/>
          <w:i w:val="0"/>
          <w:sz w:val="28"/>
        </w:rPr>
        <w:t>3. Architecture</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Frontend: </w:t>
      </w:r>
      <w:r>
        <w:rPr>
          <w:rFonts w:ascii="Times New Roman" w:hAnsi="Times New Roman" w:eastAsia="Times New Roman"/>
          <w:sz w:val="23"/>
        </w:rPr>
        <w:t>The ServiceNow Incident form and list view displayed in the browser. The UI Policy and the three Client Scripts run in the browser (client tier) using the GlideForm (g_form) API; no separate frontend framework is used.</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Backend: </w:t>
      </w:r>
      <w:r>
        <w:rPr>
          <w:rFonts w:ascii="Times New Roman" w:hAnsi="Times New Roman" w:eastAsia="Times New Roman"/>
          <w:sz w:val="23"/>
        </w:rPr>
        <w:t>The ServiceNow platform (application server) delivers the form and saves records. No custom server-side code, Node.js or Express.js is used in this project.</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Database: </w:t>
      </w:r>
      <w:r>
        <w:rPr>
          <w:rFonts w:ascii="Times New Roman" w:hAnsi="Times New Roman" w:eastAsia="Times New Roman"/>
          <w:sz w:val="23"/>
        </w:rPr>
        <w:t>The platform's Incident table (incident). Fields used: Impact, Urgency, Assignment group, Assigned To and State. Valid records are saved to the table after the client-side checks pass.</w:t>
      </w:r>
    </w:p>
    <w:p>
      <w:pPr>
        <w:spacing w:after="40"/>
        <w:jc w:val="center"/>
      </w:pPr>
      <w:r>
        <w:drawing>
          <wp:inline xmlns:a="http://schemas.openxmlformats.org/drawingml/2006/main" xmlns:pic="http://schemas.openxmlformats.org/drawingml/2006/picture">
            <wp:extent cx="5852160" cy="2616688"/>
            <wp:docPr id="1" name="Picture 1"/>
            <wp:cNvGraphicFramePr>
              <a:graphicFrameLocks noChangeAspect="1"/>
            </wp:cNvGraphicFramePr>
            <a:graphic>
              <a:graphicData uri="http://schemas.openxmlformats.org/drawingml/2006/picture">
                <pic:pic>
                  <pic:nvPicPr>
                    <pic:cNvPr id="0" name="arch_sol.jpg"/>
                    <pic:cNvPicPr/>
                  </pic:nvPicPr>
                  <pic:blipFill>
                    <a:blip r:embed="rId9"/>
                    <a:stretch>
                      <a:fillRect/>
                    </a:stretch>
                  </pic:blipFill>
                  <pic:spPr>
                    <a:xfrm>
                      <a:off x="0" y="0"/>
                      <a:ext cx="5852160" cy="2616688"/>
                    </a:xfrm>
                    <a:prstGeom prst="rect"/>
                  </pic:spPr>
                </pic:pic>
              </a:graphicData>
            </a:graphic>
          </wp:inline>
        </w:drawing>
      </w:r>
    </w:p>
    <w:p>
      <w:pPr>
        <w:spacing w:after="160"/>
        <w:jc w:val="center"/>
      </w:pPr>
      <w:r>
        <w:rPr>
          <w:rFonts w:ascii="Calibri" w:hAnsi="Calibri" w:eastAsia="Calibri"/>
          <w:b/>
          <w:i/>
          <w:sz w:val="19"/>
        </w:rPr>
        <w:t>Figure 1: Solution architecture</w:t>
      </w:r>
    </w:p>
    <w:p>
      <w:pPr>
        <w:keepNext/>
        <w:spacing w:after="120" w:before="200"/>
      </w:pPr>
      <w:r>
        <w:rPr>
          <w:rFonts w:ascii="Times New Roman" w:hAnsi="Times New Roman" w:eastAsia="Times New Roman"/>
          <w:b/>
          <w:i w:val="0"/>
          <w:sz w:val="28"/>
        </w:rPr>
        <w:t>4. Setup Instructions</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Prerequisites: </w:t>
      </w:r>
      <w:r>
        <w:rPr>
          <w:rFonts w:ascii="Times New Roman" w:hAnsi="Times New Roman" w:eastAsia="Times New Roman"/>
          <w:sz w:val="23"/>
        </w:rPr>
        <w:t>A ServiceNow Personal Developer Instance (or any ServiceNow instance) and a user with administrative / configuration access; a web browser such as Google Chrome.</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Installation: </w:t>
      </w:r>
      <w:r>
        <w:rPr>
          <w:rFonts w:ascii="Times New Roman" w:hAnsi="Times New Roman" w:eastAsia="Times New Roman"/>
          <w:sz w:val="23"/>
        </w:rPr>
        <w:t>No software installation or cloning is needed. Set up the configuration as follows: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1: Log in to the ServiceNow instance with administrative access.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2: Go to System UI → UI Policies → New. Create "High Impact Control" on the Incident table (Active = true, condition Impact is 1 – High, Reverse if false = true) and submit.</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3: In the UI Policy Actions related list, make Assignment group mandatory and create an action for Urgency with Read-only = true.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4: Go to System UI → Client Scripts → New. Create the onChange script "Auto set urgency for high impact" (Table: Incident, Field name: Impact).</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5: Create the onSubmit script "Prevent save if Assigned To missing" (Table: Incident).</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Step 6: Create the onCellEdit script "Prevent state change via list edit" (Table: Incident, Field name: State).</w:t>
      </w:r>
    </w:p>
    <w:p>
      <w:pPr>
        <w:keepNext/>
        <w:spacing w:after="120" w:before="200"/>
      </w:pPr>
      <w:r>
        <w:rPr>
          <w:rFonts w:ascii="Times New Roman" w:hAnsi="Times New Roman" w:eastAsia="Times New Roman"/>
          <w:b/>
          <w:i w:val="0"/>
          <w:sz w:val="28"/>
        </w:rPr>
        <w:t>5. Folder Structure</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Client: </w:t>
      </w:r>
      <w:r>
        <w:rPr>
          <w:rFonts w:ascii="Times New Roman" w:hAnsi="Times New Roman" w:eastAsia="Times New Roman"/>
          <w:sz w:val="23"/>
        </w:rPr>
        <w:t>Client-side configuration records in the instance: System UI → UI Policies → "High Impact Control" (with UI Policy Actions), and System UI → Client Scripts → "Auto set urgency for high impact" (onChange), "Prevent save if Assigned To missing" (onSubmit) and "Prevent state change via list edit" (onCellEdit).</w:t>
      </w:r>
    </w:p>
    <w:p>
      <w:pPr>
        <w:spacing w:after="80"/>
        <w:ind w:left="648" w:hanging="288"/>
      </w:pPr>
      <w:r>
        <w:rPr>
          <w:rFonts w:ascii="Times New Roman" w:hAnsi="Times New Roman" w:eastAsia="Times New Roman"/>
          <w:sz w:val="23"/>
        </w:rPr>
        <w:t xml:space="preserve">• </w:t>
      </w:r>
      <w:r>
        <w:rPr>
          <w:rFonts w:ascii="Times New Roman" w:hAnsi="Times New Roman" w:eastAsia="Times New Roman"/>
          <w:b/>
          <w:sz w:val="23"/>
        </w:rPr>
        <w:t xml:space="preserve">Server: </w:t>
      </w:r>
      <w:r>
        <w:rPr>
          <w:rFonts w:ascii="Times New Roman" w:hAnsi="Times New Roman" w:eastAsia="Times New Roman"/>
          <w:sz w:val="23"/>
        </w:rPr>
        <w:t>No custom server-side scripts. The Incident table and application server are provided by the ServiceNow platform.</w:t>
      </w:r>
    </w:p>
    <w:p>
      <w:pPr>
        <w:spacing w:after="0" w:before="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img1.jpg"/>
                    <pic:cNvPicPr/>
                  </pic:nvPicPr>
                  <pic:blipFill>
                    <a:blip r:embed="rId11"/>
                    <a:stretch>
                      <a:fillRect/>
                    </a:stretch>
                  </pic:blipFill>
                  <pic:spPr>
                    <a:xfrm>
                      <a:off x="0" y="0"/>
                      <a:ext cx="5486400" cy="3086100"/>
                    </a:xfrm>
                    <a:prstGeom prst="rect"/>
                  </pic:spPr>
                </pic:pic>
              </a:graphicData>
            </a:graphic>
          </wp:inline>
        </w:drawing>
      </w:r>
    </w:p>
    <w:p>
      <w:pPr>
        <w:spacing w:before="80" w:after="200"/>
        <w:jc w:val="center"/>
      </w:pPr>
      <w:r>
        <w:rPr>
          <w:rFonts w:ascii="Times New Roman" w:hAnsi="Times New Roman" w:eastAsia="Times New Roman"/>
          <w:b/>
          <w:i/>
          <w:sz w:val="19"/>
        </w:rPr>
        <w:t>Figure 2: UI Policies list in the instance (System UI → UI Policies)</w:t>
      </w:r>
    </w:p>
    <w:p>
      <w:pPr>
        <w:spacing w:after="0" w:before="0"/>
        <w:jc w:val="center"/>
      </w:pPr>
      <w:r>
        <w:drawing>
          <wp:inline xmlns:a="http://schemas.openxmlformats.org/drawingml/2006/main" xmlns:pic="http://schemas.openxmlformats.org/drawingml/2006/picture">
            <wp:extent cx="5486400" cy="2684907"/>
            <wp:docPr id="3" name="Picture 3"/>
            <wp:cNvGraphicFramePr>
              <a:graphicFrameLocks noChangeAspect="1"/>
            </wp:cNvGraphicFramePr>
            <a:graphic>
              <a:graphicData uri="http://schemas.openxmlformats.org/drawingml/2006/picture">
                <pic:pic>
                  <pic:nvPicPr>
                    <pic:cNvPr id="0" name="img7.jpg"/>
                    <pic:cNvPicPr/>
                  </pic:nvPicPr>
                  <pic:blipFill>
                    <a:blip r:embed="rId12"/>
                    <a:stretch>
                      <a:fillRect/>
                    </a:stretch>
                  </pic:blipFill>
                  <pic:spPr>
                    <a:xfrm>
                      <a:off x="0" y="0"/>
                      <a:ext cx="5486400" cy="2684907"/>
                    </a:xfrm>
                    <a:prstGeom prst="rect"/>
                  </pic:spPr>
                </pic:pic>
              </a:graphicData>
            </a:graphic>
          </wp:inline>
        </w:drawing>
      </w:r>
    </w:p>
    <w:p>
      <w:pPr>
        <w:spacing w:before="80" w:after="200"/>
        <w:jc w:val="center"/>
      </w:pPr>
      <w:r>
        <w:rPr>
          <w:rFonts w:ascii="Times New Roman" w:hAnsi="Times New Roman" w:eastAsia="Times New Roman"/>
          <w:b/>
          <w:i/>
          <w:sz w:val="19"/>
        </w:rPr>
        <w:t>Figure 2a: UI Policy "High Impact Control" – condition Impact is 1 – High, Reverse if false</w:t>
      </w:r>
    </w:p>
    <w:p>
      <w:pPr>
        <w:spacing w:after="0" w:before="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img2.jpg"/>
                    <pic:cNvPicPr/>
                  </pic:nvPicPr>
                  <pic:blipFill>
                    <a:blip r:embed="rId13"/>
                    <a:stretch>
                      <a:fillRect/>
                    </a:stretch>
                  </pic:blipFill>
                  <pic:spPr>
                    <a:xfrm>
                      <a:off x="0" y="0"/>
                      <a:ext cx="5486400" cy="3086100"/>
                    </a:xfrm>
                    <a:prstGeom prst="rect"/>
                  </pic:spPr>
                </pic:pic>
              </a:graphicData>
            </a:graphic>
          </wp:inline>
        </w:drawing>
      </w:r>
    </w:p>
    <w:p>
      <w:pPr>
        <w:spacing w:before="80" w:after="200"/>
        <w:jc w:val="center"/>
      </w:pPr>
      <w:r>
        <w:rPr>
          <w:rFonts w:ascii="Times New Roman" w:hAnsi="Times New Roman" w:eastAsia="Times New Roman"/>
          <w:b/>
          <w:i/>
          <w:sz w:val="19"/>
        </w:rPr>
        <w:t>Figure 2b: UI Policy Action – Assignment group mandatory</w:t>
      </w:r>
    </w:p>
    <w:p>
      <w:pPr>
        <w:spacing w:after="0" w:before="0"/>
        <w:jc w:val="center"/>
      </w:pPr>
      <w:r>
        <w:drawing>
          <wp:inline xmlns:a="http://schemas.openxmlformats.org/drawingml/2006/main" xmlns:pic="http://schemas.openxmlformats.org/drawingml/2006/picture">
            <wp:extent cx="5486400" cy="1450467"/>
            <wp:docPr id="5" name="Picture 5"/>
            <wp:cNvGraphicFramePr>
              <a:graphicFrameLocks noChangeAspect="1"/>
            </wp:cNvGraphicFramePr>
            <a:graphic>
              <a:graphicData uri="http://schemas.openxmlformats.org/drawingml/2006/picture">
                <pic:pic>
                  <pic:nvPicPr>
                    <pic:cNvPr id="0" name="img8.jpg"/>
                    <pic:cNvPicPr/>
                  </pic:nvPicPr>
                  <pic:blipFill>
                    <a:blip r:embed="rId14"/>
                    <a:stretch>
                      <a:fillRect/>
                    </a:stretch>
                  </pic:blipFill>
                  <pic:spPr>
                    <a:xfrm>
                      <a:off x="0" y="0"/>
                      <a:ext cx="5486400" cy="1450467"/>
                    </a:xfrm>
                    <a:prstGeom prst="rect"/>
                  </pic:spPr>
                </pic:pic>
              </a:graphicData>
            </a:graphic>
          </wp:inline>
        </w:drawing>
      </w:r>
    </w:p>
    <w:p>
      <w:pPr>
        <w:spacing w:before="80" w:after="200"/>
        <w:jc w:val="center"/>
      </w:pPr>
      <w:r>
        <w:rPr>
          <w:rFonts w:ascii="Times New Roman" w:hAnsi="Times New Roman" w:eastAsia="Times New Roman"/>
          <w:b/>
          <w:i/>
          <w:sz w:val="19"/>
        </w:rPr>
        <w:t>Figure 2c: UI Policy Action – Urgency read-only</w:t>
      </w:r>
    </w:p>
    <w:p>
      <w:pPr>
        <w:spacing w:after="0" w:before="0"/>
        <w:jc w:val="center"/>
      </w:pPr>
      <w:r>
        <w:drawing>
          <wp:inline xmlns:a="http://schemas.openxmlformats.org/drawingml/2006/main" xmlns:pic="http://schemas.openxmlformats.org/drawingml/2006/picture">
            <wp:extent cx="5486400" cy="2595753"/>
            <wp:docPr id="6" name="Picture 6"/>
            <wp:cNvGraphicFramePr>
              <a:graphicFrameLocks noChangeAspect="1"/>
            </wp:cNvGraphicFramePr>
            <a:graphic>
              <a:graphicData uri="http://schemas.openxmlformats.org/drawingml/2006/picture">
                <pic:pic>
                  <pic:nvPicPr>
                    <pic:cNvPr id="0" name="img4.jpg"/>
                    <pic:cNvPicPr/>
                  </pic:nvPicPr>
                  <pic:blipFill>
                    <a:blip r:embed="rId15"/>
                    <a:stretch>
                      <a:fillRect/>
                    </a:stretch>
                  </pic:blipFill>
                  <pic:spPr>
                    <a:xfrm>
                      <a:off x="0" y="0"/>
                      <a:ext cx="5486400" cy="2595753"/>
                    </a:xfrm>
                    <a:prstGeom prst="rect"/>
                  </pic:spPr>
                </pic:pic>
              </a:graphicData>
            </a:graphic>
          </wp:inline>
        </w:drawing>
      </w:r>
    </w:p>
    <w:p>
      <w:pPr>
        <w:spacing w:before="80" w:after="200"/>
        <w:jc w:val="center"/>
      </w:pPr>
      <w:r>
        <w:rPr>
          <w:rFonts w:ascii="Times New Roman" w:hAnsi="Times New Roman" w:eastAsia="Times New Roman"/>
          <w:b/>
          <w:i/>
          <w:sz w:val="19"/>
        </w:rPr>
        <w:t>Figure 2d: onChange Client Script – Auto set urgency for high impact</w:t>
      </w:r>
    </w:p>
    <w:p>
      <w:pPr>
        <w:spacing w:after="0" w:before="0"/>
        <w:jc w:val="center"/>
      </w:pPr>
      <w:r>
        <w:drawing>
          <wp:inline xmlns:a="http://schemas.openxmlformats.org/drawingml/2006/main" xmlns:pic="http://schemas.openxmlformats.org/drawingml/2006/picture">
            <wp:extent cx="5486400" cy="2719197"/>
            <wp:docPr id="7" name="Picture 7"/>
            <wp:cNvGraphicFramePr>
              <a:graphicFrameLocks noChangeAspect="1"/>
            </wp:cNvGraphicFramePr>
            <a:graphic>
              <a:graphicData uri="http://schemas.openxmlformats.org/drawingml/2006/picture">
                <pic:pic>
                  <pic:nvPicPr>
                    <pic:cNvPr id="0" name="img3.jpg"/>
                    <pic:cNvPicPr/>
                  </pic:nvPicPr>
                  <pic:blipFill>
                    <a:blip r:embed="rId16"/>
                    <a:stretch>
                      <a:fillRect/>
                    </a:stretch>
                  </pic:blipFill>
                  <pic:spPr>
                    <a:xfrm>
                      <a:off x="0" y="0"/>
                      <a:ext cx="5486400" cy="2719197"/>
                    </a:xfrm>
                    <a:prstGeom prst="rect"/>
                  </pic:spPr>
                </pic:pic>
              </a:graphicData>
            </a:graphic>
          </wp:inline>
        </w:drawing>
      </w:r>
    </w:p>
    <w:p>
      <w:pPr>
        <w:spacing w:before="80" w:after="200"/>
        <w:jc w:val="center"/>
      </w:pPr>
      <w:r>
        <w:rPr>
          <w:rFonts w:ascii="Times New Roman" w:hAnsi="Times New Roman" w:eastAsia="Times New Roman"/>
          <w:b/>
          <w:i/>
          <w:sz w:val="19"/>
        </w:rPr>
        <w:t>Figure 2e: onSubmit Client Script – Prevent save if Assigned To missing</w:t>
      </w:r>
    </w:p>
    <w:p>
      <w:pPr>
        <w:spacing w:after="0" w:before="0"/>
        <w:jc w:val="center"/>
      </w:pPr>
      <w:r>
        <w:drawing>
          <wp:inline xmlns:a="http://schemas.openxmlformats.org/drawingml/2006/main" xmlns:pic="http://schemas.openxmlformats.org/drawingml/2006/picture">
            <wp:extent cx="5486400" cy="2551176"/>
            <wp:docPr id="8" name="Picture 8"/>
            <wp:cNvGraphicFramePr>
              <a:graphicFrameLocks noChangeAspect="1"/>
            </wp:cNvGraphicFramePr>
            <a:graphic>
              <a:graphicData uri="http://schemas.openxmlformats.org/drawingml/2006/picture">
                <pic:pic>
                  <pic:nvPicPr>
                    <pic:cNvPr id="0" name="img5.jpg"/>
                    <pic:cNvPicPr/>
                  </pic:nvPicPr>
                  <pic:blipFill>
                    <a:blip r:embed="rId17"/>
                    <a:stretch>
                      <a:fillRect/>
                    </a:stretch>
                  </pic:blipFill>
                  <pic:spPr>
                    <a:xfrm>
                      <a:off x="0" y="0"/>
                      <a:ext cx="5486400" cy="2551176"/>
                    </a:xfrm>
                    <a:prstGeom prst="rect"/>
                  </pic:spPr>
                </pic:pic>
              </a:graphicData>
            </a:graphic>
          </wp:inline>
        </w:drawing>
      </w:r>
    </w:p>
    <w:p>
      <w:pPr>
        <w:spacing w:before="80" w:after="200"/>
        <w:jc w:val="center"/>
      </w:pPr>
      <w:r>
        <w:rPr>
          <w:rFonts w:ascii="Times New Roman" w:hAnsi="Times New Roman" w:eastAsia="Times New Roman"/>
          <w:b/>
          <w:i/>
          <w:sz w:val="19"/>
        </w:rPr>
        <w:t>Figure 2f: onCellEdit Client Script – Prevent state change via list edit</w:t>
      </w:r>
    </w:p>
    <w:p>
      <w:pPr>
        <w:keepNext/>
        <w:spacing w:after="120" w:before="200"/>
      </w:pPr>
      <w:r>
        <w:rPr>
          <w:rFonts w:ascii="Times New Roman" w:hAnsi="Times New Roman" w:eastAsia="Times New Roman"/>
          <w:b/>
          <w:i w:val="0"/>
          <w:sz w:val="28"/>
        </w:rPr>
        <w:t>6. Running the Application</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Provide commands to start the frontend and backend servers locally. No npm commands are required; the application runs inside the ServiceNow instance.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Frontend: log in to the instance and open Incident → Create New (form) or Incident → All (list view).</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Backend: nothing to start; the ServiceNow platform runs the instance and saves the records.</w:t>
      </w:r>
    </w:p>
    <w:p>
      <w:pPr>
        <w:keepNext/>
        <w:spacing w:after="120" w:before="200"/>
      </w:pPr>
      <w:r>
        <w:rPr>
          <w:rFonts w:ascii="Times New Roman" w:hAnsi="Times New Roman" w:eastAsia="Times New Roman"/>
          <w:b/>
          <w:i w:val="0"/>
          <w:sz w:val="28"/>
        </w:rPr>
        <w:t>7. API Documentation</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No custom REST endpoints are exposed. The solution uses the client-side GlideForm API available in Client Scripts:</w:t>
      </w:r>
    </w:p>
    <w:tbl>
      <w:tblPr>
        <w:tblStyle w:val="TableGrid"/>
        <w:tblW w:type="auto" w:w="0"/>
        <w:jc w:val="center"/>
        <w:tblLayout w:type="fixed"/>
        <w:tblLook w:firstColumn="1" w:firstRow="1" w:lastColumn="0" w:lastRow="0" w:noHBand="0" w:noVBand="1" w:val="04A0"/>
      </w:tblPr>
      <w:tblGrid>
        <w:gridCol w:w="2736"/>
        <w:gridCol w:w="1728"/>
        <w:gridCol w:w="1296"/>
        <w:gridCol w:w="3312"/>
      </w:tblGrid>
      <w:tr>
        <w:trPr>
          <w:tblHeader w:val="true"/>
        </w:trPr>
        <w:tc>
          <w:tcPr>
            <w:tcW w:type="dxa" w:w="2736"/>
            <w:shd w:val="clear" w:color="auto" w:fill="D9E2F3"/>
          </w:tcPr>
          <w:p>
            <w:r/>
            <w:r>
              <w:rPr>
                <w:rFonts w:ascii="Times New Roman" w:hAnsi="Times New Roman" w:eastAsia="Times New Roman"/>
                <w:b/>
                <w:sz w:val="18"/>
              </w:rPr>
              <w:t>API / Method</w:t>
            </w:r>
          </w:p>
        </w:tc>
        <w:tc>
          <w:tcPr>
            <w:tcW w:type="dxa" w:w="1728"/>
            <w:shd w:val="clear" w:color="auto" w:fill="D9E2F3"/>
          </w:tcPr>
          <w:p>
            <w:r/>
            <w:r>
              <w:rPr>
                <w:rFonts w:ascii="Times New Roman" w:hAnsi="Times New Roman" w:eastAsia="Times New Roman"/>
                <w:b/>
                <w:sz w:val="18"/>
              </w:rPr>
              <w:t>Parameters</w:t>
            </w:r>
          </w:p>
        </w:tc>
        <w:tc>
          <w:tcPr>
            <w:tcW w:type="dxa" w:w="1296"/>
            <w:shd w:val="clear" w:color="auto" w:fill="D9E2F3"/>
          </w:tcPr>
          <w:p>
            <w:r/>
            <w:r>
              <w:rPr>
                <w:rFonts w:ascii="Times New Roman" w:hAnsi="Times New Roman" w:eastAsia="Times New Roman"/>
                <w:b/>
                <w:sz w:val="18"/>
              </w:rPr>
              <w:t>Used in</w:t>
            </w:r>
          </w:p>
        </w:tc>
        <w:tc>
          <w:tcPr>
            <w:tcW w:type="dxa" w:w="3312"/>
            <w:shd w:val="clear" w:color="auto" w:fill="D9E2F3"/>
          </w:tcPr>
          <w:p>
            <w:r/>
            <w:r>
              <w:rPr>
                <w:rFonts w:ascii="Times New Roman" w:hAnsi="Times New Roman" w:eastAsia="Times New Roman"/>
                <w:b/>
                <w:sz w:val="18"/>
              </w:rPr>
              <w:t>Example</w:t>
            </w:r>
          </w:p>
        </w:tc>
      </w:tr>
      <w:tr>
        <w:tc>
          <w:tcPr>
            <w:tcW w:type="dxa" w:w="2736"/>
          </w:tcPr>
          <w:p>
            <w:r/>
            <w:r>
              <w:rPr>
                <w:rFonts w:ascii="Times New Roman" w:hAnsi="Times New Roman" w:eastAsia="Times New Roman"/>
                <w:sz w:val="18"/>
              </w:rPr>
              <w:t>g_form.getValue(fieldName)</w:t>
            </w:r>
          </w:p>
        </w:tc>
        <w:tc>
          <w:tcPr>
            <w:tcW w:type="dxa" w:w="1728"/>
          </w:tcPr>
          <w:p>
            <w:r/>
            <w:r>
              <w:rPr>
                <w:rFonts w:ascii="Times New Roman" w:hAnsi="Times New Roman" w:eastAsia="Times New Roman"/>
                <w:sz w:val="18"/>
              </w:rPr>
              <w:t>field name</w:t>
            </w:r>
          </w:p>
        </w:tc>
        <w:tc>
          <w:tcPr>
            <w:tcW w:type="dxa" w:w="1296"/>
          </w:tcPr>
          <w:p>
            <w:r/>
            <w:r>
              <w:rPr>
                <w:rFonts w:ascii="Times New Roman" w:hAnsi="Times New Roman" w:eastAsia="Times New Roman"/>
                <w:sz w:val="18"/>
              </w:rPr>
              <w:t>onSubmit</w:t>
            </w:r>
          </w:p>
        </w:tc>
        <w:tc>
          <w:tcPr>
            <w:tcW w:type="dxa" w:w="3312"/>
          </w:tcPr>
          <w:p>
            <w:r/>
            <w:r>
              <w:rPr>
                <w:rFonts w:ascii="Times New Roman" w:hAnsi="Times New Roman" w:eastAsia="Times New Roman"/>
                <w:sz w:val="18"/>
              </w:rPr>
              <w:t>g_form.getValue('impact') returns '1' for High</w:t>
            </w:r>
          </w:p>
        </w:tc>
      </w:tr>
      <w:tr>
        <w:tc>
          <w:tcPr>
            <w:tcW w:type="dxa" w:w="2736"/>
          </w:tcPr>
          <w:p>
            <w:r/>
            <w:r>
              <w:rPr>
                <w:rFonts w:ascii="Times New Roman" w:hAnsi="Times New Roman" w:eastAsia="Times New Roman"/>
                <w:sz w:val="18"/>
              </w:rPr>
              <w:t>g_form.setValue(fieldName, value)</w:t>
            </w:r>
          </w:p>
        </w:tc>
        <w:tc>
          <w:tcPr>
            <w:tcW w:type="dxa" w:w="1728"/>
          </w:tcPr>
          <w:p>
            <w:r/>
            <w:r>
              <w:rPr>
                <w:rFonts w:ascii="Times New Roman" w:hAnsi="Times New Roman" w:eastAsia="Times New Roman"/>
                <w:sz w:val="18"/>
              </w:rPr>
              <w:t>field name, value</w:t>
            </w:r>
          </w:p>
        </w:tc>
        <w:tc>
          <w:tcPr>
            <w:tcW w:type="dxa" w:w="1296"/>
          </w:tcPr>
          <w:p>
            <w:r/>
            <w:r>
              <w:rPr>
                <w:rFonts w:ascii="Times New Roman" w:hAnsi="Times New Roman" w:eastAsia="Times New Roman"/>
                <w:sz w:val="18"/>
              </w:rPr>
              <w:t>onChange</w:t>
            </w:r>
          </w:p>
        </w:tc>
        <w:tc>
          <w:tcPr>
            <w:tcW w:type="dxa" w:w="3312"/>
          </w:tcPr>
          <w:p>
            <w:r/>
            <w:r>
              <w:rPr>
                <w:rFonts w:ascii="Times New Roman" w:hAnsi="Times New Roman" w:eastAsia="Times New Roman"/>
                <w:sz w:val="18"/>
              </w:rPr>
              <w:t>g_form.setValue('urgency', '1')</w:t>
            </w:r>
          </w:p>
        </w:tc>
      </w:tr>
      <w:tr>
        <w:tc>
          <w:tcPr>
            <w:tcW w:type="dxa" w:w="2736"/>
          </w:tcPr>
          <w:p>
            <w:r/>
            <w:r>
              <w:rPr>
                <w:rFonts w:ascii="Times New Roman" w:hAnsi="Times New Roman" w:eastAsia="Times New Roman"/>
                <w:sz w:val="18"/>
              </w:rPr>
              <w:t>g_form.addInfoMessage(message)</w:t>
            </w:r>
          </w:p>
        </w:tc>
        <w:tc>
          <w:tcPr>
            <w:tcW w:type="dxa" w:w="1728"/>
          </w:tcPr>
          <w:p>
            <w:r/>
            <w:r>
              <w:rPr>
                <w:rFonts w:ascii="Times New Roman" w:hAnsi="Times New Roman" w:eastAsia="Times New Roman"/>
                <w:sz w:val="18"/>
              </w:rPr>
              <w:t>message text</w:t>
            </w:r>
          </w:p>
        </w:tc>
        <w:tc>
          <w:tcPr>
            <w:tcW w:type="dxa" w:w="1296"/>
          </w:tcPr>
          <w:p>
            <w:r/>
            <w:r>
              <w:rPr>
                <w:rFonts w:ascii="Times New Roman" w:hAnsi="Times New Roman" w:eastAsia="Times New Roman"/>
                <w:sz w:val="18"/>
              </w:rPr>
              <w:t>onChange</w:t>
            </w:r>
          </w:p>
        </w:tc>
        <w:tc>
          <w:tcPr>
            <w:tcW w:type="dxa" w:w="3312"/>
          </w:tcPr>
          <w:p>
            <w:r/>
            <w:r>
              <w:rPr>
                <w:rFonts w:ascii="Times New Roman" w:hAnsi="Times New Roman" w:eastAsia="Times New Roman"/>
                <w:sz w:val="18"/>
              </w:rPr>
              <w:t>Shows "Urgency set to High for High impact incident."</w:t>
            </w:r>
          </w:p>
        </w:tc>
      </w:tr>
      <w:tr>
        <w:tc>
          <w:tcPr>
            <w:tcW w:type="dxa" w:w="2736"/>
          </w:tcPr>
          <w:p>
            <w:r/>
            <w:r>
              <w:rPr>
                <w:rFonts w:ascii="Times New Roman" w:hAnsi="Times New Roman" w:eastAsia="Times New Roman"/>
                <w:sz w:val="18"/>
              </w:rPr>
              <w:t>g_form.showErrorBox(fieldName, message)</w:t>
            </w:r>
          </w:p>
        </w:tc>
        <w:tc>
          <w:tcPr>
            <w:tcW w:type="dxa" w:w="1728"/>
          </w:tcPr>
          <w:p>
            <w:r/>
            <w:r>
              <w:rPr>
                <w:rFonts w:ascii="Times New Roman" w:hAnsi="Times New Roman" w:eastAsia="Times New Roman"/>
                <w:sz w:val="18"/>
              </w:rPr>
              <w:t>field name, message</w:t>
            </w:r>
          </w:p>
        </w:tc>
        <w:tc>
          <w:tcPr>
            <w:tcW w:type="dxa" w:w="1296"/>
          </w:tcPr>
          <w:p>
            <w:r/>
            <w:r>
              <w:rPr>
                <w:rFonts w:ascii="Times New Roman" w:hAnsi="Times New Roman" w:eastAsia="Times New Roman"/>
                <w:sz w:val="18"/>
              </w:rPr>
              <w:t>onSubmit</w:t>
            </w:r>
          </w:p>
        </w:tc>
        <w:tc>
          <w:tcPr>
            <w:tcW w:type="dxa" w:w="3312"/>
          </w:tcPr>
          <w:p>
            <w:r/>
            <w:r>
              <w:rPr>
                <w:rFonts w:ascii="Times New Roman" w:hAnsi="Times New Roman" w:eastAsia="Times New Roman"/>
                <w:sz w:val="18"/>
              </w:rPr>
              <w:t>Shows "Assigned To is mandatory for High impact incidents."</w:t>
            </w:r>
          </w:p>
        </w:tc>
      </w:tr>
      <w:tr>
        <w:tc>
          <w:tcPr>
            <w:tcW w:type="dxa" w:w="2736"/>
          </w:tcPr>
          <w:p>
            <w:r/>
            <w:r>
              <w:rPr>
                <w:rFonts w:ascii="Times New Roman" w:hAnsi="Times New Roman" w:eastAsia="Times New Roman"/>
                <w:sz w:val="18"/>
              </w:rPr>
              <w:t>callback(false)</w:t>
            </w:r>
          </w:p>
        </w:tc>
        <w:tc>
          <w:tcPr>
            <w:tcW w:type="dxa" w:w="1728"/>
          </w:tcPr>
          <w:p>
            <w:r/>
            <w:r>
              <w:rPr>
                <w:rFonts w:ascii="Times New Roman" w:hAnsi="Times New Roman" w:eastAsia="Times New Roman"/>
                <w:sz w:val="18"/>
              </w:rPr>
              <w:t>boolean</w:t>
            </w:r>
          </w:p>
        </w:tc>
        <w:tc>
          <w:tcPr>
            <w:tcW w:type="dxa" w:w="1296"/>
          </w:tcPr>
          <w:p>
            <w:r/>
            <w:r>
              <w:rPr>
                <w:rFonts w:ascii="Times New Roman" w:hAnsi="Times New Roman" w:eastAsia="Times New Roman"/>
                <w:sz w:val="18"/>
              </w:rPr>
              <w:t>onCellEdit</w:t>
            </w:r>
          </w:p>
        </w:tc>
        <w:tc>
          <w:tcPr>
            <w:tcW w:type="dxa" w:w="3312"/>
          </w:tcPr>
          <w:p>
            <w:r/>
            <w:r>
              <w:rPr>
                <w:rFonts w:ascii="Times New Roman" w:hAnsi="Times New Roman" w:eastAsia="Times New Roman"/>
                <w:sz w:val="18"/>
              </w:rPr>
              <w:t>Cancels the list edit of State</w:t>
            </w:r>
          </w:p>
        </w:tc>
      </w:tr>
    </w:tbl>
    <w:p>
      <w:pPr>
        <w:spacing w:after="40"/>
      </w:pPr>
    </w:p>
    <w:p>
      <w:pPr>
        <w:keepNext/>
        <w:spacing w:after="120" w:before="200"/>
      </w:pPr>
      <w:r>
        <w:rPr>
          <w:rFonts w:ascii="Times New Roman" w:hAnsi="Times New Roman" w:eastAsia="Times New Roman"/>
          <w:b/>
          <w:i w:val="0"/>
          <w:sz w:val="28"/>
        </w:rPr>
        <w:t>8. Authentication</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Authentication and authorization are handled by the ServiceNow platform. Users log in with their instance credentials and a platform session is maintained by ServiceNow; no custom tokens are implemented in this project.</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Role-based access applies: configuring UI Policies and Client Scripts requires administrative access, while incident users (for example ITIL users) create and update Incidents and are subject to the rules.</w:t>
      </w:r>
    </w:p>
    <w:p>
      <w:pPr>
        <w:keepNext/>
        <w:spacing w:after="120" w:before="200"/>
      </w:pPr>
      <w:r>
        <w:rPr>
          <w:rFonts w:ascii="Times New Roman" w:hAnsi="Times New Roman" w:eastAsia="Times New Roman"/>
          <w:b/>
          <w:i w:val="0"/>
          <w:sz w:val="28"/>
        </w:rPr>
        <w:t>9. User Interface</w:t>
      </w:r>
    </w:p>
    <w:p>
      <w:pPr>
        <w:spacing w:after="80"/>
        <w:ind w:left="648" w:hanging="288"/>
      </w:pPr>
      <w:r>
        <w:rPr>
          <w:rFonts w:ascii="Times New Roman" w:hAnsi="Times New Roman" w:eastAsia="Times New Roman"/>
          <w:sz w:val="23"/>
        </w:rPr>
        <w:t xml:space="preserve">• Screenshots of the UI Policy, the three Client Scripts and the list-edit alert are given in Figures 2 to 2f and Figure 6.</w:t>
      </w:r>
      <w:r>
        <w:rPr>
          <w:rFonts w:ascii="Times New Roman" w:hAnsi="Times New Roman" w:eastAsia="Times New Roman"/>
          <w:sz w:val="23"/>
        </w:rPr>
        <w:t/>
      </w:r>
    </w:p>
    <w:p>
      <w:pPr>
        <w:spacing w:after="0" w:before="0"/>
        <w:jc w:val="center"/>
      </w:pPr>
      <w:r>
        <w:drawing>
          <wp:inline xmlns:a="http://schemas.openxmlformats.org/drawingml/2006/main" xmlns:pic="http://schemas.openxmlformats.org/drawingml/2006/picture">
            <wp:extent cx="5486400" cy="2863215"/>
            <wp:docPr id="9" name="Picture 9"/>
            <wp:cNvGraphicFramePr>
              <a:graphicFrameLocks noChangeAspect="1"/>
            </wp:cNvGraphicFramePr>
            <a:graphic>
              <a:graphicData uri="http://schemas.openxmlformats.org/drawingml/2006/picture">
                <pic:pic>
                  <pic:nvPicPr>
                    <pic:cNvPr id="0" name="img6.jpg"/>
                    <pic:cNvPicPr/>
                  </pic:nvPicPr>
                  <pic:blipFill>
                    <a:blip r:embed="rId18"/>
                    <a:stretch>
                      <a:fillRect/>
                    </a:stretch>
                  </pic:blipFill>
                  <pic:spPr>
                    <a:xfrm>
                      <a:off x="0" y="0"/>
                      <a:ext cx="5486400" cy="2863215"/>
                    </a:xfrm>
                    <a:prstGeom prst="rect"/>
                  </pic:spPr>
                </pic:pic>
              </a:graphicData>
            </a:graphic>
          </wp:inline>
        </w:drawing>
      </w:r>
    </w:p>
    <w:p>
      <w:pPr>
        <w:spacing w:before="80" w:after="200"/>
        <w:jc w:val="center"/>
      </w:pPr>
      <w:r>
        <w:rPr>
          <w:rFonts w:ascii="Times New Roman" w:hAnsi="Times New Roman" w:eastAsia="Times New Roman"/>
          <w:b/>
          <w:i/>
          <w:sz w:val="19"/>
        </w:rPr>
        <w:t>Figure 6: List-view edit of State blocked</w:t>
      </w:r>
    </w:p>
    <w:p>
      <w:pPr>
        <w:keepNext/>
        <w:spacing w:after="120" w:before="200"/>
      </w:pPr>
      <w:r>
        <w:rPr>
          <w:rFonts w:ascii="Times New Roman" w:hAnsi="Times New Roman" w:eastAsia="Times New Roman"/>
          <w:b/>
          <w:i w:val="0"/>
          <w:sz w:val="28"/>
        </w:rPr>
        <w:t>10. Testing</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Describe the testing strategy and tools used.</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Functional testing: nine test cases (FT-01 to FT-09) covering the UI Policy, the three Client Scripts, the reverse condition and form-based State updates.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Performance testing: five test cases (PT-01 to PT-05) on client-side response time, save-validation time, form load time, list view with many records and multi-user use.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User acceptance testing: twelve test cases (TC-001 to TC-012) including negative scenarios.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Tools: ServiceNow instance with Incident form and list, and the browser developer tools for timing.</w:t>
      </w:r>
    </w:p>
    <w:p>
      <w:pPr>
        <w:keepNext/>
        <w:spacing w:after="120" w:before="200"/>
      </w:pPr>
      <w:r>
        <w:rPr>
          <w:rFonts w:ascii="Times New Roman" w:hAnsi="Times New Roman" w:eastAsia="Times New Roman"/>
          <w:b/>
          <w:i w:val="0"/>
          <w:sz w:val="28"/>
        </w:rPr>
        <w:t>11. Screenshots or Demo</w:t>
      </w:r>
    </w:p>
    <w:p>
      <w:pPr>
        <w:spacing w:after="80"/>
        <w:ind w:left="648" w:hanging="288"/>
      </w:pPr>
      <w:r>
        <w:rPr>
          <w:rFonts w:ascii="Times New Roman" w:hAnsi="Times New Roman" w:eastAsia="Times New Roman"/>
          <w:sz w:val="23"/>
        </w:rPr>
        <w:t xml:space="preserve">• The screenshots in Figures 2 to 2f and Figure 6 show the application. A demo video link can be added in the appendix.</w:t>
      </w:r>
      <w:r>
        <w:rPr>
          <w:rFonts w:ascii="Times New Roman" w:hAnsi="Times New Roman" w:eastAsia="Times New Roman"/>
          <w:sz w:val="23"/>
        </w:rPr>
        <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Demo link: [add your demo link here]</w:t>
      </w:r>
    </w:p>
    <w:p>
      <w:pPr>
        <w:keepNext/>
        <w:spacing w:after="120" w:before="200"/>
      </w:pPr>
      <w:r>
        <w:rPr>
          <w:rFonts w:ascii="Times New Roman" w:hAnsi="Times New Roman" w:eastAsia="Times New Roman"/>
          <w:b/>
          <w:i w:val="0"/>
          <w:sz w:val="28"/>
        </w:rPr>
        <w:t>12. Known Issues</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Document any known bugs or issues that users or developers should be aware of.</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Urgency stays at High after Impact is changed from High to Medium because the onChange script only handles Impact = High.</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The UI Policy makes Assignment group mandatory, while the onSubmit script checks Assigned To, so users see two different rules.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The onCellEdit script uses a browser alert() pop-up instead of an on-form message.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Client-side checks do not replace server-side enforcement (for example imports or API updates are not covered).</w:t>
      </w:r>
    </w:p>
    <w:p>
      <w:pPr>
        <w:keepNext/>
        <w:spacing w:after="120" w:before="200"/>
      </w:pPr>
      <w:r>
        <w:rPr>
          <w:rFonts w:ascii="Times New Roman" w:hAnsi="Times New Roman" w:eastAsia="Times New Roman"/>
          <w:b/>
          <w:i w:val="0"/>
          <w:sz w:val="28"/>
        </w:rPr>
        <w:t>13. Future Enhancements</w:t>
      </w:r>
    </w:p>
    <w:p>
      <w:pPr>
        <w:spacing w:after="80"/>
        <w:ind w:left="648" w:hanging="288"/>
      </w:pPr>
      <w:r>
        <w:rPr>
          <w:rFonts w:ascii="Times New Roman" w:hAnsi="Times New Roman" w:eastAsia="Times New Roman"/>
          <w:sz w:val="23"/>
        </w:rPr>
        <w:t xml:space="preserve">• </w:t>
      </w:r>
      <w:r>
        <w:rPr>
          <w:rFonts w:ascii="Times New Roman" w:hAnsi="Times New Roman" w:eastAsia="Times New Roman"/>
          <w:sz w:val="23"/>
        </w:rPr>
        <w:t>Outline potential future features or improvements that could be made to the project.</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Add a server-side Data Policy or Business Rule as a backup to the client-side checks.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Reset Urgency when Impact is lowered, and show all missing-field errors in one message.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Replace the alert() pop-up with an on-form message.</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Add an ACL or bulk-update guard on the State field and a manager notification for High-impact incidents.</w:t>
      </w:r>
    </w:p>
    <w:p>
      <w:pPr>
        <w:spacing w:after="80"/>
        <w:ind w:left="1080" w:hanging="288"/>
      </w:pPr>
      <w:r>
        <w:rPr>
          <w:rFonts w:ascii="Times New Roman" w:hAnsi="Times New Roman" w:eastAsia="Times New Roman"/>
          <w:sz w:val="23"/>
        </w:rPr>
        <w:t xml:space="preserve">o </w:t>
      </w:r>
      <w:r>
        <w:rPr>
          <w:rFonts w:ascii="Times New Roman" w:hAnsi="Times New Roman" w:eastAsia="Times New Roman"/>
          <w:sz w:val="23"/>
        </w:rPr>
        <w:t>Extend the same pattern to other tables such as Problem and Change, and add a dashboard for High-impact data quality.</w:t>
      </w:r>
    </w:p>
    <w:sectPr w:rsidR="00FC693F" w:rsidRPr="0006063C" w:rsidSect="00034616">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 xml:space="preserve">SWTID-2026-5148   |   Page </w:t>
    </w:r>
    <w:r>
      <w:rPr>
        <w:rFonts w:ascii="Times New Roman" w:hAnsi="Times New Roman" w:eastAsia="Times New Roman"/>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