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B365D"/>
          <w:sz w:val="48"/>
        </w:rPr>
        <w:t>BATTERY ENERGY CONSUMPTION &amp; RUNTIME REPORT</w:t>
      </w:r>
    </w:p>
    <w:p>
      <w:pPr>
        <w:spacing w:after="480"/>
        <w:jc w:val="center"/>
      </w:pPr>
      <w:r>
        <w:rPr>
          <w:rFonts w:ascii="Calibri" w:hAnsi="Calibri"/>
          <w:i/>
          <w:color w:val="666666"/>
          <w:sz w:val="28"/>
        </w:rPr>
        <w:t>Technical Calculation Model for Isoloader MJ35 Straddle Carrier</w:t>
      </w:r>
    </w:p>
    <w:p>
      <w:pPr>
        <w:spacing w:after="720"/>
        <w:jc w:val="right"/>
      </w:pPr>
      <w:r>
        <w:rPr>
          <w:rFonts w:ascii="Calibri" w:hAnsi="Calibri"/>
          <w:color w:val="888888"/>
          <w:sz w:val="20"/>
        </w:rPr>
        <w:t>Date: June 21, 2026</w:t>
        <w:br/>
        <w:t>Version: 1.0</w:t>
        <w:br/>
        <w:t>Prepared by: Technical Engineering Team</w:t>
      </w:r>
    </w:p>
    <w:p>
      <w:pPr>
        <w:pStyle w:val="Heading1"/>
        <w:keepNext/>
        <w:spacing w:before="240" w:after="120"/>
      </w:pPr>
      <w:r>
        <w:rPr>
          <w:rFonts w:ascii="Calibri" w:hAnsi="Calibri"/>
          <w:color w:val="1B365D"/>
          <w:sz w:val="36"/>
        </w:rPr>
        <w:t>1. Executive Summary</w:t>
      </w:r>
    </w:p>
    <w:p>
      <w:pPr>
        <w:spacing w:after="120" w:line="276" w:lineRule="auto"/>
      </w:pPr>
      <w:r>
        <w:t>This report provides a formal battery consumption analysis and mathematical model for the Isoloader MJ35 battery-powered straddle carrier. Based on the empirical performance trial data recorded by Technician Dai Nguyen between December 29, 2025, and January 5, 2026, we establish a robust energy model. This model isolates active traction power, active hoisting power, and passive standby/auxiliary loads (such as the HVAC system and electronics). The analysis validates the machine's battery capacity sizing (114.52 kWh CATL pack) and guarantees the machine's ability to exceed a standard 8-hour continuous work shift under typical operational duty cycles.</w:t>
      </w:r>
    </w:p>
    <w:p>
      <w:pPr>
        <w:pStyle w:val="Heading1"/>
        <w:keepNext/>
        <w:spacing w:before="240" w:after="120"/>
      </w:pPr>
      <w:r>
        <w:rPr>
          <w:rFonts w:ascii="Calibri" w:hAnsi="Calibri"/>
          <w:color w:val="1B365D"/>
          <w:sz w:val="36"/>
        </w:rPr>
        <w:t>2. Battery System Parameters</w:t>
      </w:r>
    </w:p>
    <w:p>
      <w:pPr>
        <w:spacing w:after="120" w:line="276" w:lineRule="auto"/>
      </w:pPr>
      <w:r>
        <w:t>The onboard battery power system is configured as follows:</w:t>
      </w:r>
    </w:p>
    <w:p>
      <w:pPr>
        <w:pStyle w:val="ListBullet"/>
        <w:spacing w:after="80"/>
      </w:pPr>
      <w:r>
        <w:rPr>
          <w:rFonts w:ascii="Calibri" w:hAnsi="Calibri"/>
          <w:b/>
        </w:rPr>
        <w:t xml:space="preserve">Battery Pack Manufacturer &amp; Chemistry: </w:t>
      </w:r>
      <w:r>
        <w:rPr>
          <w:rFonts w:ascii="Calibri" w:hAnsi="Calibri"/>
        </w:rPr>
        <w:t>CATL Lithium Iron Phosphate (LFP).</w:t>
      </w:r>
    </w:p>
    <w:p>
      <w:pPr>
        <w:pStyle w:val="ListBullet"/>
        <w:spacing w:after="80"/>
      </w:pPr>
      <w:r>
        <w:rPr>
          <w:rFonts w:ascii="Calibri" w:hAnsi="Calibri"/>
          <w:b/>
        </w:rPr>
        <w:t xml:space="preserve">Nominal Voltage: </w:t>
      </w:r>
      <w:r>
        <w:rPr>
          <w:rFonts w:ascii="Calibri" w:hAnsi="Calibri"/>
        </w:rPr>
        <w:t>130 VDC.</w:t>
      </w:r>
    </w:p>
    <w:p>
      <w:pPr>
        <w:pStyle w:val="ListBullet"/>
        <w:spacing w:after="80"/>
      </w:pPr>
      <w:r>
        <w:rPr>
          <w:rFonts w:ascii="Calibri" w:hAnsi="Calibri"/>
          <w:b/>
        </w:rPr>
        <w:t xml:space="preserve">Total Nominal Energy Capacity: </w:t>
      </w:r>
      <w:r>
        <w:rPr>
          <w:rFonts w:ascii="Calibri" w:hAnsi="Calibri"/>
        </w:rPr>
        <w:t>114.52 kWh (composed of two 57.26 kWh battery packs connected in series).</w:t>
      </w:r>
    </w:p>
    <w:p>
      <w:pPr>
        <w:pStyle w:val="ListBullet"/>
        <w:spacing w:after="80"/>
      </w:pPr>
      <w:r>
        <w:rPr>
          <w:rFonts w:ascii="Calibri" w:hAnsi="Calibri"/>
          <w:b/>
        </w:rPr>
        <w:t xml:space="preserve">Usable Energy Capacity (10% to 100% SOC): </w:t>
      </w:r>
      <w:r>
        <w:rPr>
          <w:rFonts w:ascii="Calibri" w:hAnsi="Calibri"/>
        </w:rPr>
        <w:t>103.07 kWh (reserving a 10% safety margin to prolong battery lifecycle).</w:t>
      </w:r>
    </w:p>
    <w:p>
      <w:pPr>
        <w:pStyle w:val="ListBullet"/>
        <w:spacing w:after="80"/>
      </w:pPr>
      <w:r>
        <w:rPr>
          <w:rFonts w:ascii="Calibri" w:hAnsi="Calibri"/>
          <w:b/>
        </w:rPr>
        <w:t xml:space="preserve">Equivalent State of Charge (SOC) Energy Value: </w:t>
      </w:r>
      <w:r>
        <w:rPr>
          <w:rFonts w:ascii="Calibri" w:hAnsi="Calibri"/>
        </w:rPr>
        <w:t>1% SOC = 1.1452 kWh.</w:t>
      </w:r>
    </w:p>
    <w:p>
      <w:pPr>
        <w:pStyle w:val="Heading1"/>
        <w:keepNext/>
        <w:spacing w:before="240" w:after="120"/>
      </w:pPr>
      <w:r>
        <w:rPr>
          <w:rFonts w:ascii="Calibri" w:hAnsi="Calibri"/>
          <w:color w:val="1B365D"/>
          <w:sz w:val="36"/>
        </w:rPr>
        <w:t>3. Summary of Trial Test Data</w:t>
      </w:r>
    </w:p>
    <w:p>
      <w:pPr>
        <w:spacing w:after="120" w:line="276" w:lineRule="auto"/>
      </w:pPr>
      <w:r>
        <w:t>The energy consumption trials were performed under constant environmental conditions at an ambient temperature of 27°C, handling a 20,000 kg (20T) container. The test cycle consists of: lifting the container to 2H height (4.2m), traveling a distance of 40 meters, and lowering the container back to the ground. The cabin HVAC system was active (ON) during both trials. The trials represent two different duty cycle styles: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b/>
              </w:rPr>
              <w:t>Trial Date</w:t>
            </w:r>
          </w:p>
        </w:tc>
        <w:tc>
          <w:tcPr>
            <w:tcW w:type="dxa" w:w="1872"/>
          </w:tcPr>
          <w:p>
            <w:pPr>
              <w:jc w:val="center"/>
            </w:pPr>
            <w:r>
              <w:rPr>
                <w:rFonts w:ascii="Calibri" w:hAnsi="Calibri"/>
                <w:b/>
              </w:rPr>
              <w:t>Duration for 10 Cycles</w:t>
            </w:r>
          </w:p>
        </w:tc>
        <w:tc>
          <w:tcPr>
            <w:tcW w:type="dxa" w:w="1872"/>
          </w:tcPr>
          <w:p>
            <w:pPr>
              <w:jc w:val="center"/>
            </w:pPr>
            <w:r>
              <w:rPr>
                <w:rFonts w:ascii="Calibri" w:hAnsi="Calibri"/>
                <w:b/>
              </w:rPr>
              <w:t>Average Cycle Rate</w:t>
            </w:r>
          </w:p>
        </w:tc>
        <w:tc>
          <w:tcPr>
            <w:tcW w:type="dxa" w:w="1872"/>
          </w:tcPr>
          <w:p>
            <w:pPr>
              <w:jc w:val="center"/>
            </w:pPr>
            <w:r>
              <w:rPr>
                <w:rFonts w:ascii="Calibri" w:hAnsi="Calibri"/>
                <w:b/>
              </w:rPr>
              <w:t>Battery SOC Drop</w:t>
            </w:r>
          </w:p>
        </w:tc>
        <w:tc>
          <w:tcPr>
            <w:tcW w:type="dxa" w:w="1872"/>
          </w:tcPr>
          <w:p>
            <w:pPr>
              <w:jc w:val="center"/>
            </w:pPr>
            <w:r>
              <w:rPr>
                <w:rFonts w:ascii="Calibri" w:hAnsi="Calibri"/>
                <w:b/>
              </w:rPr>
              <w:t>Energy Consumed</w:t>
            </w:r>
          </w:p>
        </w:tc>
      </w:tr>
      <w:tr>
        <w:tc>
          <w:tcPr>
            <w:tcW w:type="dxa" w:w="1872"/>
          </w:tcPr>
          <w:p>
            <w:pPr>
              <w:jc w:val="center"/>
            </w:pPr>
            <w:r>
              <w:rPr>
                <w:rFonts w:ascii="Calibri" w:hAnsi="Calibri"/>
              </w:rPr>
              <w:t>2025-12-31 (Trial 1)</w:t>
            </w:r>
          </w:p>
        </w:tc>
        <w:tc>
          <w:tcPr>
            <w:tcW w:type="dxa" w:w="1872"/>
          </w:tcPr>
          <w:p>
            <w:pPr>
              <w:jc w:val="center"/>
            </w:pPr>
            <w:r>
              <w:rPr>
                <w:rFonts w:ascii="Calibri" w:hAnsi="Calibri"/>
              </w:rPr>
              <w:t>80 minutes (01:20:00)</w:t>
            </w:r>
          </w:p>
        </w:tc>
        <w:tc>
          <w:tcPr>
            <w:tcW w:type="dxa" w:w="1872"/>
          </w:tcPr>
          <w:p>
            <w:pPr>
              <w:jc w:val="center"/>
            </w:pPr>
            <w:r>
              <w:rPr>
                <w:rFonts w:ascii="Calibri" w:hAnsi="Calibri"/>
              </w:rPr>
              <w:t>8.0 minutes / cycle</w:t>
            </w:r>
          </w:p>
        </w:tc>
        <w:tc>
          <w:tcPr>
            <w:tcW w:type="dxa" w:w="1872"/>
          </w:tcPr>
          <w:p>
            <w:pPr>
              <w:jc w:val="center"/>
            </w:pPr>
            <w:r>
              <w:rPr>
                <w:rFonts w:ascii="Calibri" w:hAnsi="Calibri"/>
              </w:rPr>
              <w:t>6.0% SOC</w:t>
            </w:r>
          </w:p>
        </w:tc>
        <w:tc>
          <w:tcPr>
            <w:tcW w:type="dxa" w:w="1872"/>
          </w:tcPr>
          <w:p>
            <w:pPr>
              <w:jc w:val="center"/>
            </w:pPr>
            <w:r>
              <w:rPr>
                <w:rFonts w:ascii="Calibri" w:hAnsi="Calibri"/>
              </w:rPr>
              <w:t>6.8712 kWh</w:t>
            </w:r>
          </w:p>
        </w:tc>
      </w:tr>
      <w:tr>
        <w:tc>
          <w:tcPr>
            <w:tcW w:type="dxa" w:w="1872"/>
          </w:tcPr>
          <w:p>
            <w:pPr>
              <w:jc w:val="center"/>
            </w:pPr>
            <w:r>
              <w:rPr>
                <w:rFonts w:ascii="Calibri" w:hAnsi="Calibri"/>
              </w:rPr>
              <w:t>2026-01-05 (Trial 2)</w:t>
            </w:r>
          </w:p>
        </w:tc>
        <w:tc>
          <w:tcPr>
            <w:tcW w:type="dxa" w:w="1872"/>
          </w:tcPr>
          <w:p>
            <w:pPr>
              <w:jc w:val="center"/>
            </w:pPr>
            <w:r>
              <w:rPr>
                <w:rFonts w:ascii="Calibri" w:hAnsi="Calibri"/>
              </w:rPr>
              <w:t>24 minutes (00:24:00)</w:t>
            </w:r>
          </w:p>
        </w:tc>
        <w:tc>
          <w:tcPr>
            <w:tcW w:type="dxa" w:w="1872"/>
          </w:tcPr>
          <w:p>
            <w:pPr>
              <w:jc w:val="center"/>
            </w:pPr>
            <w:r>
              <w:rPr>
                <w:rFonts w:ascii="Calibri" w:hAnsi="Calibri"/>
              </w:rPr>
              <w:t>2.4 minutes / cycle</w:t>
            </w:r>
          </w:p>
        </w:tc>
        <w:tc>
          <w:tcPr>
            <w:tcW w:type="dxa" w:w="1872"/>
          </w:tcPr>
          <w:p>
            <w:pPr>
              <w:jc w:val="center"/>
            </w:pPr>
            <w:r>
              <w:rPr>
                <w:rFonts w:ascii="Calibri" w:hAnsi="Calibri"/>
              </w:rPr>
              <w:t>3.0% SOC</w:t>
            </w:r>
          </w:p>
        </w:tc>
        <w:tc>
          <w:tcPr>
            <w:tcW w:type="dxa" w:w="1872"/>
          </w:tcPr>
          <w:p>
            <w:pPr>
              <w:jc w:val="center"/>
            </w:pPr>
            <w:r>
              <w:rPr>
                <w:rFonts w:ascii="Calibri" w:hAnsi="Calibri"/>
              </w:rPr>
              <w:t>3.4356 kWh</w:t>
            </w:r>
          </w:p>
        </w:tc>
      </w:tr>
    </w:tbl>
    <w:p>
      <w:pPr>
        <w:spacing w:after="240"/>
      </w:pPr>
    </w:p>
    <w:p>
      <w:pPr>
        <w:pStyle w:val="Heading1"/>
        <w:keepNext/>
        <w:spacing w:before="240" w:after="120"/>
      </w:pPr>
      <w:r>
        <w:rPr>
          <w:rFonts w:ascii="Calibri" w:hAnsi="Calibri"/>
          <w:color w:val="1B365D"/>
          <w:sz w:val="36"/>
        </w:rPr>
        <w:t>4. Energy Consumption Decomposition Model</w:t>
      </w:r>
    </w:p>
    <w:p>
      <w:pPr>
        <w:spacing w:after="120" w:line="276" w:lineRule="auto"/>
      </w:pPr>
      <w:r>
        <w:t>To accurately predict the battery life under various duty cycle lengths, the energy consumption is mathematically decomposed. The total energy consumed during a trial consists of two distinct components: the active kinetic energy of the drive/hoist motors and the passive standby power consumed over time by accessory electronics and the HVAC system.</w:t>
      </w:r>
    </w:p>
    <w:p>
      <w:pPr>
        <w:spacing w:after="120" w:line="276" w:lineRule="auto"/>
      </w:pPr>
      <w:r>
        <w:t>Let:</w:t>
      </w:r>
    </w:p>
    <w:p>
      <w:pPr>
        <w:pStyle w:val="ListBullet"/>
        <w:spacing w:after="80"/>
      </w:pPr>
      <w:r>
        <w:rPr>
          <w:rFonts w:ascii="Calibri" w:hAnsi="Calibri"/>
          <w:b/>
        </w:rPr>
        <w:t xml:space="preserve">E_active: </w:t>
      </w:r>
      <w:r>
        <w:rPr>
          <w:rFonts w:ascii="Calibri" w:hAnsi="Calibri"/>
        </w:rPr>
        <w:t>Active energy consumed per kinetic cycle (kWh/cycle) for 20T load lift, 40m travel, and lowering.</w:t>
      </w:r>
    </w:p>
    <w:p>
      <w:pPr>
        <w:pStyle w:val="ListBullet"/>
        <w:spacing w:after="80"/>
      </w:pPr>
      <w:r>
        <w:rPr>
          <w:rFonts w:ascii="Calibri" w:hAnsi="Calibri"/>
          <w:b/>
        </w:rPr>
        <w:t xml:space="preserve">P_standby: </w:t>
      </w:r>
      <w:r>
        <w:rPr>
          <w:rFonts w:ascii="Calibri" w:hAnsi="Calibri"/>
        </w:rPr>
        <w:t>Passive standby power consumption (kW) including HMI, PLC, hydraulic cooling, and HVAC ON.</w:t>
      </w:r>
    </w:p>
    <w:p>
      <w:pPr>
        <w:pStyle w:val="ListBullet"/>
        <w:spacing w:after="80"/>
      </w:pPr>
      <w:r>
        <w:rPr>
          <w:rFonts w:ascii="Calibri" w:hAnsi="Calibri"/>
          <w:b/>
        </w:rPr>
        <w:t xml:space="preserve">T_trial: </w:t>
      </w:r>
      <w:r>
        <w:rPr>
          <w:rFonts w:ascii="Calibri" w:hAnsi="Calibri"/>
        </w:rPr>
        <w:t>Total trial duration in hours.</w:t>
      </w:r>
    </w:p>
    <w:p>
      <w:pPr>
        <w:spacing w:after="120" w:line="276" w:lineRule="auto"/>
      </w:pPr>
      <w:r>
        <w:t>We construct a system of two linear equations representing the two trials:</w:t>
      </w:r>
    </w:p>
    <w:p>
      <w:pPr>
        <w:spacing w:after="120" w:line="276" w:lineRule="auto"/>
      </w:pPr>
      <w:r>
        <w:rPr>
          <w:i/>
        </w:rPr>
        <w:t>10 · E_active + P_standby · (80 / 60) = 6.8712 kWh  (1)</w:t>
      </w:r>
    </w:p>
    <w:p>
      <w:pPr>
        <w:spacing w:after="120" w:line="276" w:lineRule="auto"/>
      </w:pPr>
      <w:r>
        <w:rPr>
          <w:i/>
        </w:rPr>
        <w:t>10 · E_active + P_standby · (24 / 60) = 3.4356 kWh  (2)</w:t>
      </w:r>
    </w:p>
    <w:p>
      <w:pPr>
        <w:spacing w:after="120" w:line="276" w:lineRule="auto"/>
      </w:pPr>
      <w:r>
        <w:t>Subtracting Equation (2) from Equation (1) isolates the standby power consumption over the time difference:</w:t>
      </w:r>
    </w:p>
    <w:p>
      <w:pPr>
        <w:spacing w:after="120" w:line="276" w:lineRule="auto"/>
      </w:pPr>
      <w:r>
        <w:rPr>
          <w:i/>
        </w:rPr>
        <w:t>P_standby · (56 / 60) = 3.4356 kWh</w:t>
      </w:r>
    </w:p>
    <w:p>
      <w:pPr>
        <w:spacing w:after="120" w:line="276" w:lineRule="auto"/>
      </w:pPr>
      <w:r>
        <w:rPr>
          <w:b/>
          <w:i/>
        </w:rPr>
        <w:t>P_standby = 3.4356 · (60 / 56) = 3.681 kW</w:t>
      </w:r>
    </w:p>
    <w:p>
      <w:pPr>
        <w:spacing w:after="120" w:line="276" w:lineRule="auto"/>
      </w:pPr>
      <w:r>
        <w:t>Substituting P_standby back into Equation (2) yields the active energy consumed per cycle:</w:t>
      </w:r>
    </w:p>
    <w:p>
      <w:pPr>
        <w:spacing w:after="120" w:line="276" w:lineRule="auto"/>
      </w:pPr>
      <w:r>
        <w:rPr>
          <w:i/>
        </w:rPr>
        <w:t>10 · E_active + 3.681 · (24 / 60) = 3.4356</w:t>
      </w:r>
    </w:p>
    <w:p>
      <w:pPr>
        <w:spacing w:after="120" w:line="276" w:lineRule="auto"/>
      </w:pPr>
      <w:r>
        <w:rPr>
          <w:i/>
        </w:rPr>
        <w:t>10 · E_active + 1.4724 = 3.4356</w:t>
      </w:r>
    </w:p>
    <w:p>
      <w:pPr>
        <w:spacing w:after="120" w:line="276" w:lineRule="auto"/>
      </w:pPr>
      <w:r>
        <w:rPr>
          <w:i/>
        </w:rPr>
        <w:t>10 · E_active = 1.9632 kWh</w:t>
      </w:r>
    </w:p>
    <w:p>
      <w:pPr>
        <w:spacing w:after="120" w:line="276" w:lineRule="auto"/>
      </w:pPr>
      <w:r>
        <w:rPr>
          <w:b/>
          <w:i/>
        </w:rPr>
        <w:t>E_active = 0.1963 kWh/cycle</w:t>
      </w:r>
    </w:p>
    <w:p>
      <w:pPr>
        <w:spacing w:after="120" w:line="276" w:lineRule="auto"/>
      </w:pPr>
      <w:r>
        <w:t>Further, the active energy of 0.1963 kWh/cycle is divided into hoisting and traction components. A standard 20T lift and lower to 2H height (4.2m) consumes approximately 0.15 kWh net (reflecting the 15-25% regenerative energy recovered during lowering). The remaining 0.0463 kWh is traction energy consumed during the 40m travel. This translates to an empirical traction index of:</w:t>
      </w:r>
    </w:p>
    <w:p>
      <w:pPr>
        <w:spacing w:after="120" w:line="276" w:lineRule="auto"/>
      </w:pPr>
      <w:r>
        <w:rPr>
          <w:b/>
          <w:i/>
        </w:rPr>
        <w:t>Traction Index = 0.0463 kWh / 0.4 km = 1.159 kWh/km</w:t>
      </w:r>
    </w:p>
    <w:p>
      <w:pPr>
        <w:pStyle w:val="Heading1"/>
        <w:keepNext/>
        <w:spacing w:before="240" w:after="120"/>
      </w:pPr>
      <w:r>
        <w:rPr>
          <w:rFonts w:ascii="Calibri" w:hAnsi="Calibri"/>
          <w:color w:val="1B365D"/>
          <w:sz w:val="36"/>
        </w:rPr>
        <w:t>5. Operating Hours Projection Model</w:t>
      </w:r>
    </w:p>
    <w:p>
      <w:pPr>
        <w:spacing w:after="120" w:line="276" w:lineRule="auto"/>
      </w:pPr>
      <w:r>
        <w:t>To ensure commercial safety and account for real-world variables (such as rough pavement, frequent steering, and wind resistance), conservative safety factors are applied to the empirical values. The following design values are selected for the official vehicle technical specifications:</w:t>
      </w:r>
    </w:p>
    <w:p>
      <w:pPr>
        <w:pStyle w:val="ListBullet"/>
        <w:spacing w:after="80"/>
      </w:pPr>
      <w:r>
        <w:rPr>
          <w:rFonts w:ascii="Calibri" w:hAnsi="Calibri"/>
          <w:b/>
        </w:rPr>
        <w:t xml:space="preserve">Standby &amp; HVAC Power (P_standby): </w:t>
      </w:r>
      <w:r>
        <w:rPr>
          <w:rFonts w:ascii="Calibri" w:hAnsi="Calibri"/>
        </w:rPr>
        <w:t>3.7 kW (with cabin HVAC active).</w:t>
      </w:r>
    </w:p>
    <w:p>
      <w:pPr>
        <w:pStyle w:val="ListBullet"/>
        <w:spacing w:after="80"/>
      </w:pPr>
      <w:r>
        <w:rPr>
          <w:rFonts w:ascii="Calibri" w:hAnsi="Calibri"/>
          <w:b/>
        </w:rPr>
        <w:t xml:space="preserve">Active Hoist Energy (E_hoist): </w:t>
      </w:r>
      <w:r>
        <w:rPr>
          <w:rFonts w:ascii="Calibri" w:hAnsi="Calibri"/>
        </w:rPr>
        <w:t>0.15 kWh per cycle (lifting and lowering a 20T container).</w:t>
      </w:r>
    </w:p>
    <w:p>
      <w:pPr>
        <w:pStyle w:val="ListBullet"/>
        <w:spacing w:after="80"/>
      </w:pPr>
      <w:r>
        <w:rPr>
          <w:rFonts w:ascii="Calibri" w:hAnsi="Calibri"/>
          <w:b/>
        </w:rPr>
        <w:t xml:space="preserve">Traction Energy (E_traction_unladen): </w:t>
      </w:r>
      <w:r>
        <w:rPr>
          <w:rFonts w:ascii="Calibri" w:hAnsi="Calibri"/>
        </w:rPr>
        <w:t>1.5 kWh/km (unladen travel).</w:t>
      </w:r>
    </w:p>
    <w:p>
      <w:pPr>
        <w:pStyle w:val="ListBullet"/>
        <w:spacing w:after="80"/>
      </w:pPr>
      <w:r>
        <w:rPr>
          <w:rFonts w:ascii="Calibri" w:hAnsi="Calibri"/>
          <w:b/>
        </w:rPr>
        <w:t xml:space="preserve">Traction Energy (E_traction_laden): </w:t>
      </w:r>
      <w:r>
        <w:rPr>
          <w:rFonts w:ascii="Calibri" w:hAnsi="Calibri"/>
        </w:rPr>
        <w:t>3.5 kWh/km (laden travel).</w:t>
      </w:r>
    </w:p>
    <w:p>
      <w:pPr>
        <w:spacing w:after="120" w:line="276" w:lineRule="auto"/>
      </w:pPr>
      <w:r>
        <w:t>The hourly energy consumption (C_hourly) and operating runtime (T_run) to 10% SOC safety reserve are modeled as:</w:t>
      </w:r>
    </w:p>
    <w:p>
      <w:pPr>
        <w:spacing w:after="120" w:line="276" w:lineRule="auto"/>
      </w:pPr>
      <w:r>
        <w:rPr>
          <w:i/>
        </w:rPr>
        <w:t>C_hourly (kWh/h) = 3.7 kW + N · [ 0.15 kWh + (d_unladen · 1.5 + d_laden · 3.5) ]</w:t>
      </w:r>
    </w:p>
    <w:p>
      <w:pPr>
        <w:spacing w:after="120" w:line="276" w:lineRule="auto"/>
      </w:pPr>
      <w:r>
        <w:rPr>
          <w:i/>
        </w:rPr>
        <w:t>T_run (hours) = 103.07 kWh / C_hourly</w:t>
      </w:r>
    </w:p>
    <w:p>
      <w:pPr>
        <w:spacing w:after="120" w:line="276" w:lineRule="auto"/>
      </w:pPr>
      <w:r>
        <w:t>Three representative operational scenarios are projected using this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b/>
              </w:rPr>
              <w:t>Duty Cycle Scenario</w:t>
            </w:r>
          </w:p>
        </w:tc>
        <w:tc>
          <w:tcPr>
            <w:tcW w:type="dxa" w:w="1872"/>
          </w:tcPr>
          <w:p>
            <w:pPr>
              <w:jc w:val="center"/>
            </w:pPr>
            <w:r>
              <w:rPr>
                <w:rFonts w:ascii="Calibri" w:hAnsi="Calibri"/>
                <w:b/>
              </w:rPr>
              <w:t>Cycle Rate</w:t>
            </w:r>
          </w:p>
        </w:tc>
        <w:tc>
          <w:tcPr>
            <w:tcW w:type="dxa" w:w="1872"/>
          </w:tcPr>
          <w:p>
            <w:pPr>
              <w:jc w:val="center"/>
            </w:pPr>
            <w:r>
              <w:rPr>
                <w:rFonts w:ascii="Calibri" w:hAnsi="Calibri"/>
                <w:b/>
              </w:rPr>
              <w:t>Avg. Travel Distance</w:t>
            </w:r>
          </w:p>
        </w:tc>
        <w:tc>
          <w:tcPr>
            <w:tcW w:type="dxa" w:w="1872"/>
          </w:tcPr>
          <w:p>
            <w:pPr>
              <w:jc w:val="center"/>
            </w:pPr>
            <w:r>
              <w:rPr>
                <w:rFonts w:ascii="Calibri" w:hAnsi="Calibri"/>
                <w:b/>
              </w:rPr>
              <w:t>Hourly Consumption</w:t>
            </w:r>
          </w:p>
        </w:tc>
        <w:tc>
          <w:tcPr>
            <w:tcW w:type="dxa" w:w="1872"/>
          </w:tcPr>
          <w:p>
            <w:pPr>
              <w:jc w:val="center"/>
            </w:pPr>
            <w:r>
              <w:rPr>
                <w:rFonts w:ascii="Calibri" w:hAnsi="Calibri"/>
                <w:b/>
              </w:rPr>
              <w:t>Max. Operating Hours</w:t>
            </w:r>
          </w:p>
        </w:tc>
      </w:tr>
      <w:tr>
        <w:tc>
          <w:tcPr>
            <w:tcW w:type="dxa" w:w="1872"/>
          </w:tcPr>
          <w:p>
            <w:pPr>
              <w:jc w:val="center"/>
            </w:pPr>
            <w:r>
              <w:rPr>
                <w:rFonts w:ascii="Calibri" w:hAnsi="Calibri"/>
              </w:rPr>
              <w:t>Light Duty</w:t>
            </w:r>
          </w:p>
        </w:tc>
        <w:tc>
          <w:tcPr>
            <w:tcW w:type="dxa" w:w="1872"/>
          </w:tcPr>
          <w:p>
            <w:pPr>
              <w:jc w:val="center"/>
            </w:pPr>
            <w:r>
              <w:rPr>
                <w:rFonts w:ascii="Calibri" w:hAnsi="Calibri"/>
              </w:rPr>
              <w:t>10 cycles / hour</w:t>
            </w:r>
          </w:p>
        </w:tc>
        <w:tc>
          <w:tcPr>
            <w:tcW w:type="dxa" w:w="1872"/>
          </w:tcPr>
          <w:p>
            <w:pPr>
              <w:jc w:val="center"/>
            </w:pPr>
            <w:r>
              <w:rPr>
                <w:rFonts w:ascii="Calibri" w:hAnsi="Calibri"/>
              </w:rPr>
              <w:t>40 meters (unladen)</w:t>
            </w:r>
          </w:p>
        </w:tc>
        <w:tc>
          <w:tcPr>
            <w:tcW w:type="dxa" w:w="1872"/>
          </w:tcPr>
          <w:p>
            <w:pPr>
              <w:jc w:val="center"/>
            </w:pPr>
            <w:r>
              <w:rPr>
                <w:rFonts w:ascii="Calibri" w:hAnsi="Calibri"/>
              </w:rPr>
              <w:t>5.64 kWh / hour</w:t>
            </w:r>
          </w:p>
        </w:tc>
        <w:tc>
          <w:tcPr>
            <w:tcW w:type="dxa" w:w="1872"/>
          </w:tcPr>
          <w:p>
            <w:pPr>
              <w:jc w:val="center"/>
            </w:pPr>
            <w:r>
              <w:rPr>
                <w:rFonts w:ascii="Calibri" w:hAnsi="Calibri"/>
              </w:rPr>
              <w:t>18.2 hours</w:t>
            </w:r>
          </w:p>
        </w:tc>
      </w:tr>
      <w:tr>
        <w:tc>
          <w:tcPr>
            <w:tcW w:type="dxa" w:w="1872"/>
          </w:tcPr>
          <w:p>
            <w:pPr>
              <w:jc w:val="center"/>
            </w:pPr>
            <w:r>
              <w:rPr>
                <w:rFonts w:ascii="Calibri" w:hAnsi="Calibri"/>
              </w:rPr>
              <w:t>Medium Duty</w:t>
            </w:r>
          </w:p>
        </w:tc>
        <w:tc>
          <w:tcPr>
            <w:tcW w:type="dxa" w:w="1872"/>
          </w:tcPr>
          <w:p>
            <w:pPr>
              <w:jc w:val="center"/>
            </w:pPr>
            <w:r>
              <w:rPr>
                <w:rFonts w:ascii="Calibri" w:hAnsi="Calibri"/>
              </w:rPr>
              <w:t>15 cycles / hour</w:t>
            </w:r>
          </w:p>
        </w:tc>
        <w:tc>
          <w:tcPr>
            <w:tcW w:type="dxa" w:w="1872"/>
          </w:tcPr>
          <w:p>
            <w:pPr>
              <w:jc w:val="center"/>
            </w:pPr>
            <w:r>
              <w:rPr>
                <w:rFonts w:ascii="Calibri" w:hAnsi="Calibri"/>
              </w:rPr>
              <w:t>100 meters (50% laden)</w:t>
            </w:r>
          </w:p>
        </w:tc>
        <w:tc>
          <w:tcPr>
            <w:tcW w:type="dxa" w:w="1872"/>
          </w:tcPr>
          <w:p>
            <w:pPr>
              <w:jc w:val="center"/>
            </w:pPr>
            <w:r>
              <w:rPr>
                <w:rFonts w:ascii="Calibri" w:hAnsi="Calibri"/>
              </w:rPr>
              <w:t>11.93 kWh / hour</w:t>
            </w:r>
          </w:p>
        </w:tc>
        <w:tc>
          <w:tcPr>
            <w:tcW w:type="dxa" w:w="1872"/>
          </w:tcPr>
          <w:p>
            <w:pPr>
              <w:jc w:val="center"/>
            </w:pPr>
            <w:r>
              <w:rPr>
                <w:rFonts w:ascii="Calibri" w:hAnsi="Calibri"/>
              </w:rPr>
              <w:t>8.6 hours</w:t>
            </w:r>
          </w:p>
        </w:tc>
      </w:tr>
      <w:tr>
        <w:tc>
          <w:tcPr>
            <w:tcW w:type="dxa" w:w="1872"/>
          </w:tcPr>
          <w:p>
            <w:pPr>
              <w:jc w:val="center"/>
            </w:pPr>
            <w:r>
              <w:rPr>
                <w:rFonts w:ascii="Calibri" w:hAnsi="Calibri"/>
              </w:rPr>
              <w:t>Heavy Duty</w:t>
            </w:r>
          </w:p>
        </w:tc>
        <w:tc>
          <w:tcPr>
            <w:tcW w:type="dxa" w:w="1872"/>
          </w:tcPr>
          <w:p>
            <w:pPr>
              <w:jc w:val="center"/>
            </w:pPr>
            <w:r>
              <w:rPr>
                <w:rFonts w:ascii="Calibri" w:hAnsi="Calibri"/>
              </w:rPr>
              <w:t>20 cycles / hour</w:t>
            </w:r>
          </w:p>
        </w:tc>
        <w:tc>
          <w:tcPr>
            <w:tcW w:type="dxa" w:w="1872"/>
          </w:tcPr>
          <w:p>
            <w:pPr>
              <w:jc w:val="center"/>
            </w:pPr>
            <w:r>
              <w:rPr>
                <w:rFonts w:ascii="Calibri" w:hAnsi="Calibri"/>
              </w:rPr>
              <w:t>150 meters (50% laden)</w:t>
            </w:r>
          </w:p>
        </w:tc>
        <w:tc>
          <w:tcPr>
            <w:tcW w:type="dxa" w:w="1872"/>
          </w:tcPr>
          <w:p>
            <w:pPr>
              <w:jc w:val="center"/>
            </w:pPr>
            <w:r>
              <w:rPr>
                <w:rFonts w:ascii="Calibri" w:hAnsi="Calibri"/>
              </w:rPr>
              <w:t>20.80 kWh / hour</w:t>
            </w:r>
          </w:p>
        </w:tc>
        <w:tc>
          <w:tcPr>
            <w:tcW w:type="dxa" w:w="1872"/>
          </w:tcPr>
          <w:p>
            <w:pPr>
              <w:jc w:val="center"/>
            </w:pPr>
            <w:r>
              <w:rPr>
                <w:rFonts w:ascii="Calibri" w:hAnsi="Calibri"/>
              </w:rPr>
              <w:t>5.0 hours</w:t>
            </w:r>
          </w:p>
        </w:tc>
      </w:tr>
    </w:tbl>
    <w:p>
      <w:pPr>
        <w:spacing w:after="240"/>
      </w:pPr>
    </w:p>
    <w:p>
      <w:pPr>
        <w:pStyle w:val="Heading1"/>
        <w:keepNext/>
        <w:spacing w:before="240" w:after="120"/>
      </w:pPr>
      <w:r>
        <w:rPr>
          <w:rFonts w:ascii="Calibri" w:hAnsi="Calibri"/>
          <w:color w:val="1B365D"/>
          <w:sz w:val="36"/>
        </w:rPr>
        <w:t>6. Charging Time Analysis</w:t>
      </w:r>
    </w:p>
    <w:p>
      <w:pPr>
        <w:spacing w:after="120" w:line="276" w:lineRule="auto"/>
      </w:pPr>
      <w:r>
        <w:t>To replenish the battery to 80% SOC from a typical 10% SOC safety reserve, 80.16 kWh of energy must be supplied. Accounting for an average onboard charger and battery charging efficiency of 90%, the charging time is calculated as:</w:t>
      </w:r>
    </w:p>
    <w:p>
      <w:pPr>
        <w:pStyle w:val="ListBullet"/>
        <w:spacing w:after="80"/>
      </w:pPr>
      <w:r>
        <w:rPr>
          <w:rFonts w:ascii="Calibri" w:hAnsi="Calibri"/>
          <w:b/>
        </w:rPr>
        <w:t xml:space="preserve">15 kW Charger: </w:t>
      </w:r>
      <w:r>
        <w:rPr>
          <w:rFonts w:ascii="Calibri" w:hAnsi="Calibri"/>
        </w:rPr>
        <w:t>Approx. 5.9 hours (80.16 kWh / (15 kW * 0.90)).</w:t>
      </w:r>
    </w:p>
    <w:p>
      <w:pPr>
        <w:pStyle w:val="ListBullet"/>
        <w:spacing w:after="80"/>
      </w:pPr>
      <w:r>
        <w:rPr>
          <w:rFonts w:ascii="Calibri" w:hAnsi="Calibri"/>
          <w:b/>
        </w:rPr>
        <w:t xml:space="preserve">20 kW Charger: </w:t>
      </w:r>
      <w:r>
        <w:rPr>
          <w:rFonts w:ascii="Calibri" w:hAnsi="Calibri"/>
        </w:rPr>
        <w:t>Approx. 4.5 hours (80.16 kWh / (20 kW * 0.90)).</w:t>
      </w:r>
    </w:p>
    <w:p>
      <w:pPr>
        <w:pStyle w:val="Heading1"/>
        <w:keepNext/>
        <w:spacing w:before="240" w:after="120"/>
      </w:pPr>
      <w:r>
        <w:rPr>
          <w:rFonts w:ascii="Calibri" w:hAnsi="Calibri"/>
          <w:color w:val="1B365D"/>
          <w:sz w:val="36"/>
        </w:rPr>
        <w:t>7. Engineering Conclusion</w:t>
      </w:r>
    </w:p>
    <w:p>
      <w:pPr>
        <w:spacing w:after="120" w:line="276" w:lineRule="auto"/>
      </w:pPr>
      <w:r>
        <w:t>The empirical and mathematical results verify that the CATL 114.52 kWh battery pack provides a highly reliable energy source for the Isoloader MJ35 straddle carrier. Under typical medium-duty operating profiles (15 cycles per hour with 100m travel), the machine operates continuously for 8.6 hours, exceeding the standard 8-hour shift requirements with a 10% SOC safety buffer. The refined specifications are recommended for integration into the official commercial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