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99"/>
          <w:sz w:val="40"/>
        </w:rPr>
        <w:t>BMS BATTERY PERFORMANCE REPORT</w:t>
        <w:br/>
      </w:r>
      <w:r>
        <w:rPr>
          <w:rFonts w:ascii="Arial" w:hAnsi="Arial"/>
          <w:b/>
          <w:color w:val="808080"/>
          <w:sz w:val="28"/>
        </w:rPr>
        <w:t>Case Study: Preparing State - HVAC ON</w:t>
      </w:r>
    </w:p>
    <w:p>
      <w:r>
        <w:rPr>
          <w:b/>
        </w:rPr>
        <w:t xml:space="preserve">Document Reference: </w:t>
      </w:r>
      <w:r>
        <w:t>BMS-REPORT-TC-02</w:t>
        <w:br/>
      </w:r>
      <w:r>
        <w:rPr>
          <w:b/>
        </w:rPr>
        <w:t xml:space="preserve">Vehicle Model: </w:t>
      </w:r>
      <w:r>
        <w:t>Isoloader MJ35 Gantry Crane</w:t>
        <w:br/>
      </w:r>
      <w:r>
        <w:rPr>
          <w:b/>
        </w:rPr>
        <w:t xml:space="preserve">Battery Configuration: </w:t>
      </w:r>
      <w:r>
        <w:t>CATL 130 VDC Nominal (114.52 kWh)</w:t>
        <w:br/>
      </w:r>
      <w:r>
        <w:rPr>
          <w:b/>
        </w:rPr>
        <w:t xml:space="preserve">System State: </w:t>
      </w:r>
      <w:r>
        <w:t>Preparing (Init Stage 5)</w:t>
        <w:br/>
      </w:r>
      <w:r>
        <w:rPr>
          <w:b/>
        </w:rPr>
        <w:t xml:space="preserve">HVAC System Status: </w:t>
      </w:r>
      <w:r>
        <w:t>ON (~3.37 kW)</w:t>
        <w:br/>
      </w:r>
      <w:r>
        <w:rPr>
          <w:b/>
        </w:rPr>
        <w:t xml:space="preserve">Test Duration: </w:t>
      </w:r>
      <w:r>
        <w:t>3599.96 s (60.00 mins)</w:t>
        <w:br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• Average Total Power: </w:t>
      </w:r>
      <w:r>
        <w:t>3.6997 kW</w:t>
        <w:br/>
      </w:r>
      <w:r>
        <w:rPr>
          <w:b/>
        </w:rPr>
        <w:t xml:space="preserve">• Total Energy Consumed during Test: </w:t>
      </w:r>
      <w:r>
        <w:t>3.6996 kWh</w:t>
        <w:br/>
      </w:r>
      <w:r>
        <w:rPr>
          <w:b/>
        </w:rPr>
        <w:t xml:space="preserve">• Projected Continuous Runtime (100% to 10% SOC): </w:t>
      </w:r>
      <w:r>
        <w:rPr>
          <w:b/>
        </w:rPr>
        <w:t>27.86 Hours</w:t>
        <w:br/>
      </w:r>
      <w:r>
        <w:rPr>
          <w:b/>
        </w:rPr>
        <w:t xml:space="preserve">• Test Verdict: </w:t>
      </w:r>
      <w:r>
        <w:t>PASS. The battery packs operate within normal parameters.</w:t>
        <w:br/>
      </w:r>
    </w:p>
    <w:p>
      <w:pPr>
        <w:pStyle w:val="Heading1"/>
      </w:pPr>
      <w:r>
        <w:t>2. Statistical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Pack A (BMSA)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Pack B (BMSB)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Combined Total</w:t>
            </w:r>
          </w:p>
        </w:tc>
      </w:tr>
      <w:tr>
        <w:tc>
          <w:tcPr>
            <w:tcW w:type="dxa" w:w="2340"/>
          </w:tcPr>
          <w:p>
            <w:r>
              <w:t>Voltage (Min)</w:t>
            </w:r>
          </w:p>
        </w:tc>
        <w:tc>
          <w:tcPr>
            <w:tcW w:type="dxa" w:w="2340"/>
          </w:tcPr>
          <w:p>
            <w:r>
              <w:t>127.8 V</w:t>
            </w:r>
          </w:p>
        </w:tc>
        <w:tc>
          <w:tcPr>
            <w:tcW w:type="dxa" w:w="2340"/>
          </w:tcPr>
          <w:p>
            <w:r>
              <w:t>127.8 V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Voltage (Max)</w:t>
            </w:r>
          </w:p>
        </w:tc>
        <w:tc>
          <w:tcPr>
            <w:tcW w:type="dxa" w:w="2340"/>
          </w:tcPr>
          <w:p>
            <w:r>
              <w:t>127.9 V</w:t>
            </w:r>
          </w:p>
        </w:tc>
        <w:tc>
          <w:tcPr>
            <w:tcW w:type="dxa" w:w="2340"/>
          </w:tcPr>
          <w:p>
            <w:r>
              <w:t>127.9 V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Voltage (Average)</w:t>
            </w:r>
          </w:p>
        </w:tc>
        <w:tc>
          <w:tcPr>
            <w:tcW w:type="dxa" w:w="2340"/>
          </w:tcPr>
          <w:p>
            <w:r>
              <w:t>127.89 V</w:t>
            </w:r>
          </w:p>
        </w:tc>
        <w:tc>
          <w:tcPr>
            <w:tcW w:type="dxa" w:w="2340"/>
          </w:tcPr>
          <w:p>
            <w:r>
              <w:t>127.90 V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Current (Min)</w:t>
            </w:r>
          </w:p>
        </w:tc>
        <w:tc>
          <w:tcPr>
            <w:tcW w:type="dxa" w:w="2340"/>
          </w:tcPr>
          <w:p>
            <w:r>
              <w:t>13.528 A</w:t>
            </w:r>
          </w:p>
        </w:tc>
        <w:tc>
          <w:tcPr>
            <w:tcW w:type="dxa" w:w="2340"/>
          </w:tcPr>
          <w:p>
            <w:r>
              <w:t>13.633 A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Current (Max)</w:t>
            </w:r>
          </w:p>
        </w:tc>
        <w:tc>
          <w:tcPr>
            <w:tcW w:type="dxa" w:w="2340"/>
          </w:tcPr>
          <w:p>
            <w:r>
              <w:t>18.141 A</w:t>
            </w:r>
          </w:p>
        </w:tc>
        <w:tc>
          <w:tcPr>
            <w:tcW w:type="dxa" w:w="2340"/>
          </w:tcPr>
          <w:p>
            <w:r>
              <w:t>18.129 A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Current (Average)</w:t>
            </w:r>
          </w:p>
        </w:tc>
        <w:tc>
          <w:tcPr>
            <w:tcW w:type="dxa" w:w="2340"/>
          </w:tcPr>
          <w:p>
            <w:r>
              <w:t>14.428 A</w:t>
            </w:r>
          </w:p>
        </w:tc>
        <w:tc>
          <w:tcPr>
            <w:tcW w:type="dxa" w:w="2340"/>
          </w:tcPr>
          <w:p>
            <w:r>
              <w:t>14.499 A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Power (Min)</w:t>
            </w:r>
          </w:p>
        </w:tc>
        <w:tc>
          <w:tcPr>
            <w:tcW w:type="dxa" w:w="2340"/>
          </w:tcPr>
          <w:p>
            <w:r>
              <w:t>1.730 kW</w:t>
            </w:r>
          </w:p>
        </w:tc>
        <w:tc>
          <w:tcPr>
            <w:tcW w:type="dxa" w:w="2340"/>
          </w:tcPr>
          <w:p>
            <w:r>
              <w:t>1.744 kW</w:t>
            </w:r>
          </w:p>
        </w:tc>
        <w:tc>
          <w:tcPr>
            <w:tcW w:type="dxa" w:w="2340"/>
          </w:tcPr>
          <w:p>
            <w:r>
              <w:t>3.504 kW</w:t>
            </w:r>
          </w:p>
        </w:tc>
      </w:tr>
      <w:tr>
        <w:tc>
          <w:tcPr>
            <w:tcW w:type="dxa" w:w="2340"/>
          </w:tcPr>
          <w:p>
            <w:r>
              <w:t>Power (Max)</w:t>
            </w:r>
          </w:p>
        </w:tc>
        <w:tc>
          <w:tcPr>
            <w:tcW w:type="dxa" w:w="2340"/>
          </w:tcPr>
          <w:p>
            <w:r>
              <w:t>2.318 kW</w:t>
            </w:r>
          </w:p>
        </w:tc>
        <w:tc>
          <w:tcPr>
            <w:tcW w:type="dxa" w:w="2340"/>
          </w:tcPr>
          <w:p>
            <w:r>
              <w:t>2.319 kW</w:t>
            </w:r>
          </w:p>
        </w:tc>
        <w:tc>
          <w:tcPr>
            <w:tcW w:type="dxa" w:w="2340"/>
          </w:tcPr>
          <w:p>
            <w:r>
              <w:t>4.602 kW</w:t>
            </w:r>
          </w:p>
        </w:tc>
      </w:tr>
      <w:tr>
        <w:tc>
          <w:tcPr>
            <w:tcW w:type="dxa" w:w="2340"/>
          </w:tcPr>
          <w:p>
            <w:r>
              <w:t>Power (Average)</w:t>
            </w:r>
          </w:p>
        </w:tc>
        <w:tc>
          <w:tcPr>
            <w:tcW w:type="dxa" w:w="2340"/>
          </w:tcPr>
          <w:p>
            <w:r>
              <w:t>1.845 kW</w:t>
            </w:r>
          </w:p>
        </w:tc>
        <w:tc>
          <w:tcPr>
            <w:tcW w:type="dxa" w:w="2340"/>
          </w:tcPr>
          <w:p>
            <w:r>
              <w:t>1.854 kW</w:t>
            </w:r>
          </w:p>
        </w:tc>
        <w:tc>
          <w:tcPr>
            <w:tcW w:type="dxa" w:w="2340"/>
          </w:tcPr>
          <w:p>
            <w:r>
              <w:t>3.700 kW</w:t>
            </w:r>
          </w:p>
        </w:tc>
      </w:tr>
    </w:tbl>
    <w:p>
      <w:r>
        <w:br w:type="page"/>
      </w:r>
    </w:p>
    <w:p>
      <w:pPr>
        <w:pStyle w:val="Heading1"/>
      </w:pPr>
      <w:r>
        <w:t>3. Data Plots and Visualization</w:t>
      </w:r>
    </w:p>
    <w:p>
      <w:pPr>
        <w:pStyle w:val="Heading2"/>
      </w:pPr>
      <w:r>
        <w:t>3.1 Pack Voltages over Time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Pack Currents over Time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Power Consumption (kW)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Load Profile Distribution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profile_h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3.5 State of Charge (SOC) Profile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_pro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Engineering Recommendations</w:t>
      </w:r>
    </w:p>
    <w:p>
      <w:r>
        <w:rPr>
          <w:b/>
        </w:rPr>
        <w:t xml:space="preserve">1. Contactor Lifetime Preservation: </w:t>
      </w:r>
      <w:r>
        <w:t>Under Preparing state, the small load is safe, but verify that pre-charging pulses (the current spikes up to 4.5A) do not cause contactor degradation over time.</w:t>
        <w:br/>
        <w:br/>
      </w:r>
      <w:r>
        <w:rPr>
          <w:b/>
        </w:rPr>
        <w:t xml:space="preserve">2. HVAC Impact: </w:t>
      </w:r>
      <w:r>
        <w:t>The air conditioning consumes about ~3.37 kW constantly. This represents a significant load during standby (representing about 91% of standby power). Operators should be trained to turn OFF the HVAC when the crane is parked in preparing state for long periods to conserve battery energy.</w:t>
        <w:br/>
        <w:br/>
      </w:r>
      <w:r>
        <w:rPr>
          <w:b/>
        </w:rPr>
        <w:t xml:space="preserve">3. SOC Balanced Discharging: </w:t>
      </w:r>
      <w:r>
        <w:t>As observed in the plots, both Pack A and Pack B discharge symmetrically, showing excellent parallel load balancing and cells health.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7"/>
      </w:rPr>
      <w:t>Internal Project Document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Isoloader MJ35 Battery Performance Report | Preparing State - HVAC 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