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0" w:after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0" w:after="40"/>
        <w:jc w:val="center"/>
      </w:pPr>
      <w:r>
        <w:rPr>
          <w:rFonts w:ascii="Arial" w:cs="Arial" w:eastAsia="Arial" w:hAnsi="Arial"/>
          <w:b/>
          <w:bCs/>
          <w:color w:val="16213E"/>
          <w:sz w:val="64"/>
          <w:szCs w:val="64"/>
        </w:rPr>
        <w:t xml:space="preserve">FINSIGHT</w:t>
      </w:r>
    </w:p>
    <w:p>
      <w:pPr>
        <w:spacing w:before="0" w:after="80"/>
        <w:jc w:val="center"/>
      </w:pPr>
      <w:r>
        <w:rPr>
          <w:rFonts w:ascii="Arial" w:cs="Arial" w:eastAsia="Arial" w:hAnsi="Arial"/>
          <w:color w:val="0F3460"/>
          <w:sz w:val="30"/>
          <w:szCs w:val="30"/>
        </w:rPr>
        <w:t xml:space="preserve">Personal Finance Platform</w:t>
      </w:r>
    </w:p>
    <w:p>
      <w:pPr>
        <w:pBdr>
          <w:bottom w:val="single" w:color="1A6B3C" w:sz="12" w:space="8"/>
        </w:pBdr>
        <w:spacing w:before="0" w:after="200"/>
        <w:jc w:val="center"/>
      </w:pPr>
      <w:r>
        <w:rPr>
          <w:sz w:val="2"/>
          <w:szCs w:val="2"/>
        </w:rPr>
        <w:t xml:space="preserve"/>
      </w:r>
    </w:p>
    <w:p>
      <w:pPr>
        <w:spacing w:before="0" w:after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0" w:after="60"/>
        <w:jc w:val="center"/>
      </w:pPr>
      <w:r>
        <w:rPr>
          <w:rFonts w:ascii="Arial" w:cs="Arial" w:eastAsia="Arial" w:hAnsi="Arial"/>
          <w:i/>
          <w:iCs/>
          <w:color w:val="2C3E50"/>
          <w:sz w:val="26"/>
          <w:szCs w:val="26"/>
        </w:rPr>
        <w:t xml:space="preserve">Product &amp; Technical Roadmap</w:t>
      </w:r>
    </w:p>
    <w:p>
      <w:pPr>
        <w:spacing w:before="0" w:after="40"/>
        <w:jc w:val="center"/>
      </w:pPr>
      <w:r>
        <w:rPr>
          <w:rFonts w:ascii="Arial" w:cs="Arial" w:eastAsia="Arial" w:hAnsi="Arial"/>
          <w:color w:val="7F8C8D"/>
          <w:sz w:val="24"/>
          <w:szCs w:val="24"/>
        </w:rPr>
        <w:t xml:space="preserve">V1 · V2 · V3</w:t>
      </w:r>
    </w:p>
    <w:p>
      <w:pPr>
        <w:spacing w:before="80" w:after="40"/>
        <w:jc w:val="center"/>
      </w:pPr>
      <w:r>
        <w:rPr>
          <w:rFonts w:ascii="Arial" w:cs="Arial" w:eastAsia="Arial" w:hAnsi="Arial"/>
          <w:color w:val="7F8C8D"/>
          <w:sz w:val="20"/>
          <w:szCs w:val="20"/>
        </w:rPr>
        <w:t xml:space="preserve">Prepared: March 2025</w:t>
      </w:r>
    </w:p>
    <w:p>
      <w:pPr>
        <w:spacing w:before="0" w:after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0" w:after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r>
        <w:br w:type="page"/>
      </w:r>
    </w:p>
    <w:p>
      <w:pPr>
        <w:pStyle w:val="Heading1"/>
        <w:pBdr>
          <w:bottom w:val="single" w:color="1A6B3C" w:sz="8" w:space="6"/>
        </w:pBdr>
        <w:spacing w:before="320" w:after="120"/>
      </w:pPr>
      <w:r>
        <w:rPr>
          <w:rFonts w:ascii="Arial" w:cs="Arial" w:eastAsia="Arial" w:hAnsi="Arial"/>
          <w:b/>
          <w:bCs/>
          <w:color w:val="16213E"/>
          <w:sz w:val="32"/>
          <w:szCs w:val="32"/>
        </w:rPr>
        <w:t xml:space="preserve">About This Document</w:t>
      </w:r>
    </w:p>
    <w:p>
      <w:pPr>
        <w:spacing w:before="60" w:after="8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This document outlines the product vision, technical architecture, and phased implementation plan for Finsight — a personal finance tracking platform built for Indian users. It is intended for review by both business stakeholders and the engineering team.</w:t>
      </w:r>
    </w:p>
    <w:p>
      <w:pPr>
        <w:spacing w:before="0" w:after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Audience</w:t>
            </w:r>
          </w:p>
        </w:tc>
        <w:tc>
          <w:tcPr>
            <w:tcW w:type="dxa" w:w="7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Business team, product owners, engineering team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Status</w:t>
            </w:r>
          </w:p>
        </w:tc>
        <w:tc>
          <w:tcPr>
            <w:tcW w:type="dxa" w:w="7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Planning — Pre-development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Versions Covered</w:t>
            </w:r>
          </w:p>
        </w:tc>
        <w:tc>
          <w:tcPr>
            <w:tcW w:type="dxa" w:w="7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V1 (MVP), V2 (Insights Engine), V3 (Integrations)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Target Market</w:t>
            </w:r>
          </w:p>
        </w:tc>
        <w:tc>
          <w:tcPr>
            <w:tcW w:type="dxa" w:w="7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Indian retail investors and salaried professionals (INR)</w:t>
            </w:r>
          </w:p>
        </w:tc>
      </w:tr>
    </w:tbl>
    <w:p>
      <w:pPr>
        <w:spacing w:before="0" w:after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1"/>
        <w:pBdr>
          <w:bottom w:val="single" w:color="1A6B3C" w:sz="8" w:space="6"/>
        </w:pBdr>
        <w:spacing w:before="320" w:after="120"/>
      </w:pPr>
      <w:r>
        <w:rPr>
          <w:rFonts w:ascii="Arial" w:cs="Arial" w:eastAsia="Arial" w:hAnsi="Arial"/>
          <w:b/>
          <w:bCs/>
          <w:color w:val="16213E"/>
          <w:sz w:val="32"/>
          <w:szCs w:val="32"/>
        </w:rPr>
        <w:t xml:space="preserve">Product Vision</w:t>
      </w:r>
    </w:p>
    <w:p>
      <w:pPr>
        <w:spacing w:before="60" w:after="8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Finsight gives individuals a single place to track their net worth, monitor spending, and plan financial goals — without connecting to any bank or broker in V1. Users enter and manage their financial data manually, with CSV import/export for convenience.</w:t>
      </w:r>
    </w:p>
    <w:p>
      <w:pPr>
        <w:spacing w:before="0" w:after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3"/>
        <w:spacing w:before="180" w:after="6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Core User Goals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C3E50"/>
          <w:sz w:val="22"/>
          <w:szCs w:val="22"/>
        </w:rPr>
        <w:t xml:space="preserve">Know their net worth at any point in time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C3E50"/>
          <w:sz w:val="22"/>
          <w:szCs w:val="22"/>
        </w:rPr>
        <w:t xml:space="preserve">Track where their money goes each month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C3E50"/>
          <w:sz w:val="22"/>
          <w:szCs w:val="22"/>
        </w:rPr>
        <w:t xml:space="preserve">Monitor assets and liabilities in one view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C3E50"/>
          <w:sz w:val="22"/>
          <w:szCs w:val="22"/>
        </w:rPr>
        <w:t xml:space="preserve">Set savings goals and track progress manually</w:t>
      </w:r>
    </w:p>
    <w:p>
      <w:pPr>
        <w:spacing w:before="0" w:after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6B3C"/>
                <w:sz w:val="21"/>
                <w:szCs w:val="21"/>
              </w:rPr>
              <w:t xml:space="preserve">V1 is deliberately simple: no automation, no third-party connections. The goal is to build trust and a strong data foundation before adding complexity in V2 and V3.</w:t>
            </w:r>
          </w:p>
        </w:tc>
      </w:tr>
    </w:tbl>
    <w:p>
      <w:pPr>
        <w:spacing w:before="0" w:after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r>
        <w:br w:type="page"/>
      </w:r>
    </w:p>
    <w:p>
      <w:pPr>
        <w:pStyle w:val="Heading1"/>
        <w:pBdr>
          <w:bottom w:val="single" w:color="1A6B3C" w:sz="8" w:space="6"/>
        </w:pBdr>
        <w:spacing w:before="320" w:after="120"/>
      </w:pPr>
      <w:r>
        <w:rPr>
          <w:rFonts w:ascii="Arial" w:cs="Arial" w:eastAsia="Arial" w:hAnsi="Arial"/>
          <w:b/>
          <w:bCs/>
          <w:color w:val="16213E"/>
          <w:sz w:val="32"/>
          <w:szCs w:val="32"/>
        </w:rPr>
        <w:t xml:space="preserve">Recommended Technology Stack</w:t>
      </w:r>
    </w:p>
    <w:p>
      <w:pPr>
        <w:spacing w:before="60" w:after="8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The stack is chosen for zero server management in V1, generous free tiers, and a smooth path to scale in V2 and V3. All components sit within the Firebase and Vercel ecosystems — there is no custom backend server until V3 broker integrations require one.</w:t>
      </w:r>
    </w:p>
    <w:p>
      <w:pPr>
        <w:spacing w:before="0" w:after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00"/>
        <w:gridCol w:w="4760"/>
      </w:tblGrid>
      <w:tr>
        <w:trPr>
          <w:tblHeader/>
        </w:trP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4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Frontend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Next.js 14 (App Router)</w:t>
            </w:r>
          </w:p>
        </w:tc>
        <w:tc>
          <w:tcPr>
            <w:tcW w:type="dxa" w:w="4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Web application framework with server components and routing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UI Library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shadcn/ui + Tailwind CSS</w:t>
            </w:r>
          </w:p>
        </w:tc>
        <w:tc>
          <w:tcPr>
            <w:tcW w:type="dxa" w:w="4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Accessible component library with utility-first styling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Charts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Recharts</w:t>
            </w:r>
          </w:p>
        </w:tc>
        <w:tc>
          <w:tcPr>
            <w:tcW w:type="dxa" w:w="4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Composable charting library for net worth trends and breakdowns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Authentication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Firebase Auth</w:t>
            </w:r>
          </w:p>
        </w:tc>
        <w:tc>
          <w:tcPr>
            <w:tcW w:type="dxa" w:w="4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Google OAuth + Email/Password — free up to 10,000 MAU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Database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Cloud Firestore</w:t>
            </w:r>
          </w:p>
        </w:tc>
        <w:tc>
          <w:tcPr>
            <w:tcW w:type="dxa" w:w="4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NoSQL document database — generous free tier, real-time capable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File Storage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Firebase Storage</w:t>
            </w:r>
          </w:p>
        </w:tc>
        <w:tc>
          <w:tcPr>
            <w:tcW w:type="dxa" w:w="4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CSV upload staging — free 5 GB storage on Spark plan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Backend Jobs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Firebase Cloud Functions</w:t>
            </w:r>
          </w:p>
        </w:tc>
        <w:tc>
          <w:tcPr>
            <w:tcW w:type="dxa" w:w="4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Serverless functions for scheduled jobs (introduced in V2)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Hosting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Vercel</w:t>
            </w:r>
          </w:p>
        </w:tc>
        <w:tc>
          <w:tcPr>
            <w:tcW w:type="dxa" w:w="4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Automatic CI/CD, edge deployment, free tier for personal projects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Email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Resend (V2+)</w:t>
            </w:r>
          </w:p>
        </w:tc>
        <w:tc>
          <w:tcPr>
            <w:tcW w:type="dxa" w:w="4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Transactional email for monthly summaries and reminders</w:t>
            </w:r>
          </w:p>
        </w:tc>
      </w:tr>
    </w:tbl>
    <w:p>
      <w:pPr>
        <w:spacing w:before="0" w:after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0F3460"/>
          <w:sz w:val="26"/>
          <w:szCs w:val="26"/>
        </w:rPr>
        <w:t xml:space="preserve">Cost at Each Stage</w:t>
      </w:r>
    </w:p>
    <w:p>
      <w:pPr>
        <w:spacing w:before="60" w:after="8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All V1 infrastructure runs on free tiers. Paid costs only arise in V2 (email sending) and V3 (broker APIs).</w:t>
      </w:r>
    </w:p>
    <w:p>
      <w:pPr>
        <w:spacing w:before="0" w:after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200"/>
        <w:gridCol w:w="2780"/>
        <w:gridCol w:w="2780"/>
      </w:tblGrid>
      <w:tr>
        <w:trPr>
          <w:tblHeader/>
        </w:trPr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Firebase</w:t>
            </w:r>
          </w:p>
        </w:tc>
        <w:tc>
          <w:tcPr>
            <w:tcW w:type="dxa" w:w="27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Vercel</w:t>
            </w:r>
          </w:p>
        </w:tc>
        <w:tc>
          <w:tcPr>
            <w:tcW w:type="dxa" w:w="27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Third-party APIs</w:t>
            </w:r>
          </w:p>
        </w:tc>
      </w:tr>
      <w:tr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V1 — MVP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Free (Spark plan)</w:t>
            </w:r>
          </w:p>
        </w:tc>
        <w:tc>
          <w:tcPr>
            <w:tcW w:type="dxa" w:w="27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Free (Hobby plan)</w:t>
            </w:r>
          </w:p>
        </w:tc>
        <w:tc>
          <w:tcPr>
            <w:tcW w:type="dxa" w:w="27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None</w:t>
            </w:r>
          </w:p>
        </w:tc>
      </w:tr>
      <w:tr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V2 — Insights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Free / Blaze if functions scale</w:t>
            </w:r>
          </w:p>
        </w:tc>
        <w:tc>
          <w:tcPr>
            <w:tcW w:type="dxa" w:w="27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Free / Pro if traffic grows</w:t>
            </w:r>
          </w:p>
        </w:tc>
        <w:tc>
          <w:tcPr>
            <w:tcW w:type="dxa" w:w="27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Resend ~$0–20/mo email</w:t>
            </w:r>
          </w:p>
        </w:tc>
      </w:tr>
      <w:tr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V3 — Integrations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Blaze pay-as-you-go</w:t>
            </w:r>
          </w:p>
        </w:tc>
        <w:tc>
          <w:tcPr>
            <w:tcW w:type="dxa" w:w="27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Pro plan recommended</w:t>
            </w:r>
          </w:p>
        </w:tc>
        <w:tc>
          <w:tcPr>
            <w:tcW w:type="dxa" w:w="27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Zerodha Kite ₹2,000/mo; AA gateway varies</w:t>
            </w:r>
          </w:p>
        </w:tc>
      </w:tr>
    </w:tbl>
    <w:p>
      <w:pPr>
        <w:spacing w:before="0" w:after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0F3460"/>
          <w:sz w:val="26"/>
          <w:szCs w:val="26"/>
        </w:rPr>
        <w:t xml:space="preserve">Data Model Overview</w:t>
      </w:r>
    </w:p>
    <w:p>
      <w:pPr>
        <w:spacing w:before="60" w:after="8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All user data lives in Firestore under a single users/{userId} root. This structure supports multi-user households in V2 without breaking changes to V1 collections.</w:t>
      </w:r>
    </w:p>
    <w:p>
      <w:pPr>
        <w:spacing w:before="0" w:after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621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Collection</w:t>
            </w:r>
          </w:p>
        </w:tc>
        <w:tc>
          <w:tcPr>
            <w:tcW w:type="dxa" w:w="6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621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Contents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3460"/>
                <w:sz w:val="20"/>
                <w:szCs w:val="20"/>
              </w:rPr>
              <w:t xml:space="preserve">users/{userId}/accounts</w:t>
            </w:r>
          </w:p>
        </w:tc>
        <w:tc>
          <w:tcPr>
            <w:tcW w:type="dxa" w:w="6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Cash, bank accounts, credit cards with balances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3460"/>
                <w:sz w:val="20"/>
                <w:szCs w:val="20"/>
              </w:rPr>
              <w:t xml:space="preserve">users/{userId}/transactions</w:t>
            </w:r>
          </w:p>
        </w:tc>
        <w:tc>
          <w:tcPr>
            <w:tcW w:type="dxa" w:w="6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All income and expense entries with category, account, date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3460"/>
                <w:sz w:val="20"/>
                <w:szCs w:val="20"/>
              </w:rPr>
              <w:t xml:space="preserve">users/{userId}/assets</w:t>
            </w:r>
          </w:p>
        </w:tc>
        <w:tc>
          <w:tcPr>
            <w:tcW w:type="dxa" w:w="6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Stocks, MF, Gold, Crypto, FD — manually entered, with source field for V3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3460"/>
                <w:sz w:val="20"/>
                <w:szCs w:val="20"/>
              </w:rPr>
              <w:t xml:space="preserve">users/{userId}/liabilities</w:t>
            </w:r>
          </w:p>
        </w:tc>
        <w:tc>
          <w:tcPr>
            <w:tcW w:type="dxa" w:w="6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Loans and dues — name, total amount, outstanding amount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3460"/>
                <w:sz w:val="20"/>
                <w:szCs w:val="20"/>
              </w:rPr>
              <w:t xml:space="preserve">users/{userId}/goals</w:t>
            </w:r>
          </w:p>
        </w:tc>
        <w:tc>
          <w:tcPr>
            <w:tcW w:type="dxa" w:w="6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Savings goals with target amount, target date, current progress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3460"/>
                <w:sz w:val="20"/>
                <w:szCs w:val="20"/>
              </w:rPr>
              <w:t xml:space="preserve">users/{userId}/categories</w:t>
            </w:r>
          </w:p>
        </w:tc>
        <w:tc>
          <w:tcPr>
            <w:tcW w:type="dxa" w:w="6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Default categories seeded on signup + user-defined additions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3460"/>
                <w:sz w:val="20"/>
                <w:szCs w:val="20"/>
              </w:rPr>
              <w:t xml:space="preserve">households/{householdId}</w:t>
            </w:r>
          </w:p>
        </w:tc>
        <w:tc>
          <w:tcPr>
            <w:tcW w:type="dxa" w:w="6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V2+ — shared household linking multiple user IDs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5276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V1  —  MVP: Tracking Layer</w:t>
            </w:r>
          </w:p>
        </w:tc>
      </w:tr>
    </w:tbl>
    <w:p>
      <w:pPr>
        <w:spacing w:before="0" w:after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1A5276"/>
          <w:sz w:val="26"/>
          <w:szCs w:val="26"/>
        </w:rPr>
        <w:t xml:space="preserve">Objective</w:t>
      </w:r>
    </w:p>
    <w:p>
      <w:pPr>
        <w:spacing w:before="60" w:after="8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Deliver a usable personal finance tracker with full net worth visibility. No automation, no third-party connections. Users enter data manually or via a standardised CSV template.</w:t>
      </w:r>
    </w:p>
    <w:p>
      <w:pPr>
        <w:spacing w:before="0" w:after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AF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5276"/>
                <w:sz w:val="21"/>
                <w:szCs w:val="21"/>
              </w:rPr>
              <w:t xml:space="preserve">Target timeline: 5–6 weeks from kickoff to production deployment on Vercel.</w:t>
            </w:r>
          </w:p>
        </w:tc>
      </w:tr>
    </w:tbl>
    <w:p>
      <w:pPr>
        <w:spacing w:before="0" w:after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1A5276"/>
          <w:sz w:val="26"/>
          <w:szCs w:val="26"/>
        </w:rPr>
        <w:t xml:space="preserve">Features</w:t>
      </w:r>
    </w:p>
    <w:p>
      <w:pPr>
        <w:pStyle w:val="Heading3"/>
        <w:spacing w:before="180" w:after="6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Dashboard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C3E50"/>
          <w:sz w:val="22"/>
          <w:szCs w:val="22"/>
        </w:rPr>
        <w:t xml:space="preserve">Net worth trend graph with 3-month, 6-month, and 1-year views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C3E50"/>
          <w:sz w:val="22"/>
          <w:szCs w:val="22"/>
        </w:rPr>
        <w:t xml:space="preserve">Assets vs. Liabilities breakdown (donut chart)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C3E50"/>
          <w:sz w:val="22"/>
          <w:szCs w:val="22"/>
        </w:rPr>
        <w:t xml:space="preserve">Monthly expense summary and category-wise distribution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C3E50"/>
          <w:sz w:val="22"/>
          <w:szCs w:val="22"/>
        </w:rPr>
        <w:t xml:space="preserve">Recent transactions feed</w:t>
      </w:r>
    </w:p>
    <w:p>
      <w:pPr>
        <w:spacing w:before="0" w:after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3"/>
        <w:spacing w:before="180" w:after="6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Transactions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C3E50"/>
          <w:sz w:val="22"/>
          <w:szCs w:val="22"/>
        </w:rPr>
        <w:t xml:space="preserve">Add, edit, and delete transactions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C3E50"/>
          <w:sz w:val="22"/>
          <w:szCs w:val="22"/>
        </w:rPr>
        <w:t xml:space="preserve">Income and expense types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C3E50"/>
          <w:sz w:val="22"/>
          <w:szCs w:val="22"/>
        </w:rPr>
        <w:t xml:space="preserve">Multi-account support: Cash, Bank accounts, Credit cards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C3E50"/>
          <w:sz w:val="22"/>
          <w:szCs w:val="22"/>
        </w:rPr>
        <w:t xml:space="preserve">Category assignment from a preset list (user-extensible)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C3E50"/>
          <w:sz w:val="22"/>
          <w:szCs w:val="22"/>
        </w:rPr>
        <w:t xml:space="preserve">Monthly filtering and search</w:t>
      </w:r>
    </w:p>
    <w:p>
      <w:pPr>
        <w:spacing w:before="0" w:after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AF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5276"/>
                <w:sz w:val="21"/>
                <w:szCs w:val="21"/>
              </w:rPr>
              <w:t xml:space="preserve">Default categories: GROCERY, MEDICAL, TRIP, WEEKEND, PARTY. Users can add custom categories from the transaction dialog.</w:t>
            </w:r>
          </w:p>
        </w:tc>
      </w:tr>
    </w:tbl>
    <w:p>
      <w:pPr>
        <w:spacing w:before="0" w:after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3"/>
        <w:spacing w:before="180" w:after="6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Assets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C3E50"/>
          <w:sz w:val="22"/>
          <w:szCs w:val="22"/>
        </w:rPr>
        <w:t xml:space="preserve">Manual asset entry with support for: Stocks, Mutual Funds, Gold, Crypto, Bank / FD, Cash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C3E50"/>
          <w:sz w:val="22"/>
          <w:szCs w:val="22"/>
        </w:rPr>
        <w:t xml:space="preserve">Aggregated asset view with type-wise allocation breakdown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C3E50"/>
          <w:sz w:val="22"/>
          <w:szCs w:val="22"/>
        </w:rPr>
        <w:t xml:space="preserve">CSV import and export in a fixed template format</w:t>
      </w:r>
    </w:p>
    <w:p>
      <w:pPr>
        <w:spacing w:before="0" w:after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3"/>
        <w:spacing w:before="180" w:after="6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Liabilities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C3E50"/>
          <w:sz w:val="22"/>
          <w:szCs w:val="22"/>
        </w:rPr>
        <w:t xml:space="preserve">Manual entry only — no EMI or repayment schedule tracking in V1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C3E50"/>
          <w:sz w:val="22"/>
          <w:szCs w:val="22"/>
        </w:rPr>
        <w:t xml:space="preserve">Fields: Name, Total Amount, Outstanding Amount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C3E50"/>
          <w:sz w:val="22"/>
          <w:szCs w:val="22"/>
        </w:rPr>
        <w:t xml:space="preserve">CSV import and export</w:t>
      </w:r>
    </w:p>
    <w:p>
      <w:pPr>
        <w:spacing w:before="0" w:after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3"/>
        <w:spacing w:before="180" w:after="6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Goals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C3E50"/>
          <w:sz w:val="22"/>
          <w:szCs w:val="22"/>
        </w:rPr>
        <w:t xml:space="preserve">Create goals with: Name, Target Amount, Target Date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C3E50"/>
          <w:sz w:val="22"/>
          <w:szCs w:val="22"/>
        </w:rPr>
        <w:t xml:space="preserve">Manual progress updates — user enters current saved amount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C3E50"/>
          <w:sz w:val="22"/>
          <w:szCs w:val="22"/>
        </w:rPr>
        <w:t xml:space="preserve">Progress bar and percentage display per goal</w:t>
      </w:r>
    </w:p>
    <w:p>
      <w:pPr>
        <w:spacing w:before="0" w:after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3"/>
        <w:spacing w:before="180" w:after="6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Profile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C3E50"/>
          <w:sz w:val="22"/>
          <w:szCs w:val="22"/>
        </w:rPr>
        <w:t xml:space="preserve">Basic user information (name, email)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C3E50"/>
          <w:sz w:val="22"/>
          <w:szCs w:val="22"/>
        </w:rPr>
        <w:t xml:space="preserve">Base currency: INR — static in V1, multi-currency is out of scope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C3E50"/>
          <w:sz w:val="22"/>
          <w:szCs w:val="22"/>
        </w:rPr>
        <w:t xml:space="preserve">Manage accounts (add / remove Cash, Bank, Credit Card accounts)</w:t>
      </w:r>
    </w:p>
    <w:p>
      <w:pPr>
        <w:spacing w:before="0" w:after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3"/>
        <w:spacing w:before="180" w:after="6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CSV Import / Export</w:t>
      </w:r>
    </w:p>
    <w:p>
      <w:pPr>
        <w:spacing w:before="60" w:after="8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A fixed-column CSV template is enforced across transactions, assets, and liabilities. Users download a blank template, fill it in, and upload — no column-mapping UI is needed.</w:t>
      </w:r>
    </w:p>
    <w:p>
      <w:pPr>
        <w:spacing w:before="0" w:after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rPr>
          <w:tblHeader/>
        </w:trP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Data Type</w:t>
            </w:r>
          </w:p>
        </w:tc>
        <w:tc>
          <w:tcPr>
            <w:tcW w:type="dxa" w:w="7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CSV Columns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Transactions</w:t>
            </w:r>
          </w:p>
        </w:tc>
        <w:tc>
          <w:tcPr>
            <w:tcW w:type="dxa" w:w="7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date (DD-MM-YYYY), type (income/expense), amount, category, account_name, notes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Assets</w:t>
            </w:r>
          </w:p>
        </w:tc>
        <w:tc>
          <w:tcPr>
            <w:tcW w:type="dxa" w:w="7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name, type, current_value, units, notes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Liabilities</w:t>
            </w:r>
          </w:p>
        </w:tc>
        <w:tc>
          <w:tcPr>
            <w:tcW w:type="dxa" w:w="7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name, total_amount, outstanding_amount, notes</w:t>
            </w:r>
          </w:p>
        </w:tc>
      </w:tr>
    </w:tbl>
    <w:p>
      <w:pPr>
        <w:spacing w:before="0" w:after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1A5276"/>
          <w:sz w:val="26"/>
          <w:szCs w:val="26"/>
        </w:rPr>
        <w:t xml:space="preserve">Build Phases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200"/>
        <w:gridCol w:w="5560"/>
      </w:tblGrid>
      <w:tr>
        <w:trPr>
          <w:tblHeader/>
        </w:trPr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Timeline</w:t>
            </w:r>
          </w:p>
        </w:tc>
        <w:tc>
          <w:tcPr>
            <w:tcW w:type="dxa" w:w="5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Deliverables</w:t>
            </w:r>
          </w:p>
        </w:tc>
      </w:tr>
      <w:tr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Phase 1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Week 1</w:t>
            </w:r>
          </w:p>
        </w:tc>
        <w:tc>
          <w:tcPr>
            <w:tcW w:type="dxa" w:w="5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Firebase project setup, Auth (Google + Email/Password), Next.js scaffold, Firestore security rules</w:t>
            </w:r>
          </w:p>
        </w:tc>
      </w:tr>
      <w:tr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Phase 2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Week 2–3</w:t>
            </w:r>
          </w:p>
        </w:tc>
        <w:tc>
          <w:tcPr>
            <w:tcW w:type="dxa" w:w="5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Accounts, Transactions (add/edit/delete), category system, CSV import/export</w:t>
            </w:r>
          </w:p>
        </w:tc>
      </w:tr>
      <w:tr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Phase 3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Week 3–4</w:t>
            </w:r>
          </w:p>
        </w:tc>
        <w:tc>
          <w:tcPr>
            <w:tcW w:type="dxa" w:w="5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Assets (all types), Liabilities, CSV import/export for both</w:t>
            </w:r>
          </w:p>
        </w:tc>
      </w:tr>
      <w:tr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Phase 4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Week 4–5</w:t>
            </w:r>
          </w:p>
        </w:tc>
        <w:tc>
          <w:tcPr>
            <w:tcW w:type="dxa" w:w="5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Dashboard charts, Net worth calculation, Goals page</w:t>
            </w:r>
          </w:p>
        </w:tc>
      </w:tr>
      <w:tr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Phase 5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Week 5–6</w:t>
            </w:r>
          </w:p>
        </w:tc>
        <w:tc>
          <w:tcPr>
            <w:tcW w:type="dxa" w:w="5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Profile page, responsive polish, Vercel deployment, error handling, empty states</w:t>
            </w:r>
          </w:p>
        </w:tc>
      </w:tr>
    </w:tbl>
    <w:p>
      <w:pPr>
        <w:spacing w:before="0" w:after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1A5276"/>
          <w:sz w:val="26"/>
          <w:szCs w:val="26"/>
        </w:rPr>
        <w:t xml:space="preserve">V1 Deliverable</w:t>
      </w:r>
    </w:p>
    <w:p>
      <w:pPr>
        <w:spacing w:before="60" w:after="8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Users will be able to: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C3E50"/>
          <w:sz w:val="22"/>
          <w:szCs w:val="22"/>
        </w:rPr>
        <w:t xml:space="preserve">Track all income and expenses across multiple accounts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C3E50"/>
          <w:sz w:val="22"/>
          <w:szCs w:val="22"/>
        </w:rPr>
        <w:t xml:space="preserve">Track assets across 6 asset types and liabilities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C3E50"/>
          <w:sz w:val="22"/>
          <w:szCs w:val="22"/>
        </w:rPr>
        <w:t xml:space="preserve">View their net worth at any point with trend graphs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C3E50"/>
          <w:sz w:val="22"/>
          <w:szCs w:val="22"/>
        </w:rPr>
        <w:t xml:space="preserve">Set and manually track savings goals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C3E50"/>
          <w:sz w:val="22"/>
          <w:szCs w:val="22"/>
        </w:rPr>
        <w:t xml:space="preserve">Import and export all data via CSV</w:t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6C3483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V2  —  Financial Insights Engine</w:t>
            </w:r>
          </w:p>
        </w:tc>
      </w:tr>
    </w:tbl>
    <w:p>
      <w:pPr>
        <w:spacing w:before="0" w:after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6C3483"/>
          <w:sz w:val="26"/>
          <w:szCs w:val="26"/>
        </w:rPr>
        <w:t xml:space="preserve">Objective</w:t>
      </w:r>
    </w:p>
    <w:p>
      <w:pPr>
        <w:spacing w:before="60" w:after="8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Layer intelligence on top of V1's data foundation. Introduce automated analysis, a Financial Health Score, enhanced goal tracking, notifications, and multi-user household support — all without requiring third-party integrations.</w:t>
      </w:r>
    </w:p>
    <w:p>
      <w:pPr>
        <w:spacing w:before="0" w:after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DAE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C3483"/>
                <w:sz w:val="21"/>
                <w:szCs w:val="21"/>
              </w:rPr>
              <w:t xml:space="preserve">V2 introduces Firebase Cloud Functions for the first time — enabling scheduled background jobs and triggered recalculations. No breaking schema changes from V1.</w:t>
            </w:r>
          </w:p>
        </w:tc>
      </w:tr>
    </w:tbl>
    <w:p>
      <w:pPr>
        <w:spacing w:before="0" w:after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6C3483"/>
          <w:sz w:val="26"/>
          <w:szCs w:val="26"/>
        </w:rPr>
        <w:t xml:space="preserve">New Features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6C348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6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6C348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Spending Pattern Analysis</w:t>
            </w:r>
          </w:p>
        </w:tc>
        <w:tc>
          <w:tcPr>
            <w:tcW w:type="dxa" w:w="6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Month-over-month comparison per category, biggest movers highlighted on the dashboard</w:t>
            </w:r>
          </w:p>
        </w:tc>
      </w:tr>
      <w:t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8DA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Financial Health Score</w:t>
            </w:r>
          </w:p>
        </w:tc>
        <w:tc>
          <w:tcPr>
            <w:tcW w:type="dxa" w:w="6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8DA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A composite score calculated from savings rate (40%), debt ratio (30%), and asset allocation diversity (30%). Stored in Firestore and recalculated monthly or on new transaction.</w:t>
            </w:r>
          </w:p>
        </w:tc>
      </w:tr>
      <w:t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Goals — Enhanced</w:t>
            </w:r>
          </w:p>
        </w:tc>
        <w:tc>
          <w:tcPr>
            <w:tcW w:type="dxa" w:w="6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Monthly required savings calculation based on target amount and remaining time. On track / Off track indicator per goal.</w:t>
            </w:r>
          </w:p>
        </w:tc>
      </w:tr>
      <w:t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8DA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Net Worth Projection</w:t>
            </w:r>
          </w:p>
        </w:tc>
        <w:tc>
          <w:tcPr>
            <w:tcW w:type="dxa" w:w="6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8DA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3–5 year forecast based on current net worth growth rate. Assumptions (e.g. 12% equity growth, 7% FD return) are shown transparently to the user.</w:t>
            </w:r>
          </w:p>
        </w:tc>
      </w:tr>
      <w:t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Notifications</w:t>
            </w:r>
          </w:p>
        </w:tc>
        <w:tc>
          <w:tcPr>
            <w:tcW w:type="dxa" w:w="6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Monthly financial summary via email. Payment reminders for tracked liabilities. Sent via Resend (transactional email service).</w:t>
            </w:r>
          </w:p>
        </w:tc>
      </w:tr>
      <w:t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8DA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Multi-user / Family Accounts</w:t>
            </w:r>
          </w:p>
        </w:tc>
        <w:tc>
          <w:tcPr>
            <w:tcW w:type="dxa" w:w="6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8DA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Household collection linking multiple user IDs. Shared net worth view. Per-member transaction and asset breakdown.</w:t>
            </w:r>
          </w:p>
        </w:tc>
      </w:tr>
    </w:tbl>
    <w:p>
      <w:pPr>
        <w:spacing w:before="0" w:after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6C3483"/>
          <w:sz w:val="26"/>
          <w:szCs w:val="26"/>
        </w:rPr>
        <w:t xml:space="preserve">Technical Additions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C3E50"/>
          <w:sz w:val="22"/>
          <w:szCs w:val="22"/>
        </w:rPr>
        <w:t xml:space="preserve">Firebase Cloud Functions (Node.js): scheduled monthly summary job, score recalculation trigger on write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C3E50"/>
          <w:sz w:val="22"/>
          <w:szCs w:val="22"/>
        </w:rPr>
        <w:t xml:space="preserve">New Firestore collections: insights/{userId}, scores/{userId}, households/{householdId}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C3E50"/>
          <w:sz w:val="22"/>
          <w:szCs w:val="22"/>
        </w:rPr>
        <w:t xml:space="preserve">Resend API for transactional email delivery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C3E50"/>
          <w:sz w:val="22"/>
          <w:szCs w:val="22"/>
        </w:rPr>
        <w:t xml:space="preserve">Firestore security rules updated to support household member read access</w:t>
      </w:r>
    </w:p>
    <w:p>
      <w:pPr>
        <w:spacing w:before="0" w:after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200"/>
        <w:gridCol w:w="5560"/>
      </w:tblGrid>
      <w:tr>
        <w:trPr>
          <w:tblHeader/>
        </w:trPr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6C348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6C348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Timeline</w:t>
            </w:r>
          </w:p>
        </w:tc>
        <w:tc>
          <w:tcPr>
            <w:tcW w:type="dxa" w:w="5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6C348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Deliverables</w:t>
            </w:r>
          </w:p>
        </w:tc>
      </w:tr>
      <w:tr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Phase 1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Week 1–2</w:t>
            </w:r>
          </w:p>
        </w:tc>
        <w:tc>
          <w:tcPr>
            <w:tcW w:type="dxa" w:w="5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Cloud Functions setup, monthly summary job, health score recalculation trigger</w:t>
            </w:r>
          </w:p>
        </w:tc>
      </w:tr>
      <w:tr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8DA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Phase 2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8DA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Week 2–3</w:t>
            </w:r>
          </w:p>
        </w:tc>
        <w:tc>
          <w:tcPr>
            <w:tcW w:type="dxa" w:w="5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8DA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Financial Health Score UI, spending pattern page, top category widgets</w:t>
            </w:r>
          </w:p>
        </w:tc>
      </w:tr>
      <w:tr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Phase 3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Week 3–4</w:t>
            </w:r>
          </w:p>
        </w:tc>
        <w:tc>
          <w:tcPr>
            <w:tcW w:type="dxa" w:w="5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Net worth projection charts, enhanced Goals page with on-track indicators</w:t>
            </w:r>
          </w:p>
        </w:tc>
      </w:tr>
      <w:tr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8DA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Phase 4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8DA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Week 4–5</w:t>
            </w:r>
          </w:p>
        </w:tc>
        <w:tc>
          <w:tcPr>
            <w:tcW w:type="dxa" w:w="5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8DA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Multi-user household flow, invite by email, shared dashboard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784212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V3  —  Broker &amp; Bank Integrations</w:t>
            </w:r>
          </w:p>
        </w:tc>
      </w:tr>
    </w:tbl>
    <w:p>
      <w:pPr>
        <w:spacing w:before="0" w:after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784212"/>
          <w:sz w:val="26"/>
          <w:szCs w:val="26"/>
        </w:rPr>
        <w:t xml:space="preserve">Objective</w:t>
      </w:r>
    </w:p>
    <w:p>
      <w:pPr>
        <w:spacing w:before="60" w:after="8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Automate data ingestion from brokers and banks, eliminating manual entry for investment portfolios and bank transactions. V3 is a significant engineering effort and carries compliance and cost considerations that must be evaluated before development begins.</w:t>
      </w:r>
    </w:p>
    <w:p>
      <w:pPr>
        <w:spacing w:before="0" w:after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EBD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84212"/>
                <w:sz w:val="21"/>
                <w:szCs w:val="21"/>
              </w:rPr>
              <w:t xml:space="preserve">V3 requires moving to Firebase Blaze (pay-as-you-go) plan. Broker API costs and Account Aggregator gateway fees apply. A cost-benefit review is recommended before committing to this phase.</w:t>
            </w:r>
          </w:p>
        </w:tc>
      </w:tr>
    </w:tbl>
    <w:p>
      <w:pPr>
        <w:spacing w:before="0" w:after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784212"/>
          <w:sz w:val="26"/>
          <w:szCs w:val="26"/>
        </w:rPr>
        <w:t xml:space="preserve">Broker Integrations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78421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6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78421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Zerodha Kite Connect</w:t>
            </w:r>
          </w:p>
        </w:tc>
        <w:tc>
          <w:tcPr>
            <w:tcW w:type="dxa" w:w="6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OAuth-based portfolio holdings sync. Per-user auth token expires daily — a token refresh flow must be built. API access costs ₹2,000/month.</w:t>
            </w:r>
          </w:p>
        </w:tc>
      </w:tr>
      <w:t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BD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Angel One SmartAPI</w:t>
            </w:r>
          </w:p>
        </w:tc>
        <w:tc>
          <w:tcPr>
            <w:tcW w:type="dxa" w:w="6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BD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Similar OAuth flow to Zerodha. Free tier available — better for cost-sensitive early stage. Documentation quality is inconsistent.</w:t>
            </w:r>
          </w:p>
        </w:tc>
      </w:tr>
      <w:t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Auto-sync Pipeline</w:t>
            </w:r>
          </w:p>
        </w:tc>
        <w:tc>
          <w:tcPr>
            <w:tcW w:type="dxa" w:w="6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Cloud Functions scheduled job fetches holdings nightly, reconciles with manual entries (using source field), and flags discrepancies to the user.</w:t>
            </w:r>
          </w:p>
        </w:tc>
      </w:tr>
    </w:tbl>
    <w:p>
      <w:pPr>
        <w:spacing w:before="0" w:after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784212"/>
          <w:sz w:val="26"/>
          <w:szCs w:val="26"/>
        </w:rPr>
        <w:t xml:space="preserve">Bank Data Sync — Account Aggregator Framework</w:t>
      </w:r>
    </w:p>
    <w:p>
      <w:pPr>
        <w:spacing w:before="60" w:after="8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Direct bank scraping is not used. Instead, Finsight registers as a Financial Information User (FIU) with an Account Aggregator (AA) gateway — either Finvu or Setu — and follows the RBI-mandated consent framework.</w:t>
      </w:r>
    </w:p>
    <w:p>
      <w:pPr>
        <w:spacing w:before="0" w:after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C3E50"/>
          <w:sz w:val="22"/>
          <w:szCs w:val="22"/>
        </w:rPr>
        <w:t xml:space="preserve">User explicitly grants consent per bank account through an AA-approved flow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C3E50"/>
          <w:sz w:val="22"/>
          <w:szCs w:val="22"/>
        </w:rPr>
        <w:t xml:space="preserve">Bank statement data is pulled and parsed into the transaction format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C3E50"/>
          <w:sz w:val="22"/>
          <w:szCs w:val="22"/>
        </w:rPr>
        <w:t xml:space="preserve">Deduplication runs against existing manual entries before import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C3E50"/>
          <w:sz w:val="22"/>
          <w:szCs w:val="22"/>
        </w:rPr>
        <w:t xml:space="preserve">Consent management, renewal, and revocation must be implemented as required by RBI guidelines</w:t>
      </w:r>
    </w:p>
    <w:p>
      <w:pPr>
        <w:spacing w:before="0" w:after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EBD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84212"/>
                <w:sz w:val="21"/>
                <w:szCs w:val="21"/>
              </w:rPr>
              <w:t xml:space="preserve">The AA framework is the correct path for India — not screen scraping. Compliance work (FIU registration, consent UI, data handling) should be scoped with a legal advisor before V3 development begins.</w:t>
            </w:r>
          </w:p>
        </w:tc>
      </w:tr>
    </w:tbl>
    <w:p>
      <w:pPr>
        <w:spacing w:before="0" w:after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200"/>
        <w:gridCol w:w="5560"/>
      </w:tblGrid>
      <w:tr>
        <w:trPr>
          <w:tblHeader/>
        </w:trPr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78421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78421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Timeline</w:t>
            </w:r>
          </w:p>
        </w:tc>
        <w:tc>
          <w:tcPr>
            <w:tcW w:type="dxa" w:w="5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78421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Deliverables</w:t>
            </w:r>
          </w:p>
        </w:tc>
      </w:tr>
      <w:tr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Phase 1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TBD</w:t>
            </w:r>
          </w:p>
        </w:tc>
        <w:tc>
          <w:tcPr>
            <w:tcW w:type="dxa" w:w="5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Zerodha / Angel One OAuth flow, Cloud Functions proxy layer, source-tagged asset sync</w:t>
            </w:r>
          </w:p>
        </w:tc>
      </w:tr>
      <w:tr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BD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Phase 2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BD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TBD</w:t>
            </w:r>
          </w:p>
        </w:tc>
        <w:tc>
          <w:tcPr>
            <w:tcW w:type="dxa" w:w="5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BD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AA gateway integration (Finvu or Setu), RBI-compliant consent flow, bank transaction import</w:t>
            </w:r>
          </w:p>
        </w:tc>
      </w:tr>
      <w:tr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Phase 3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TBD</w:t>
            </w:r>
          </w:p>
        </w:tc>
        <w:tc>
          <w:tcPr>
            <w:tcW w:type="dxa" w:w="5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Deduplication engine, discrepancy flagging, nightly sync scheduler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A6B3C" w:sz="8" w:space="6"/>
        </w:pBdr>
        <w:spacing w:before="320" w:after="120"/>
      </w:pPr>
      <w:r>
        <w:rPr>
          <w:rFonts w:ascii="Arial" w:cs="Arial" w:eastAsia="Arial" w:hAnsi="Arial"/>
          <w:b/>
          <w:bCs/>
          <w:color w:val="16213E"/>
          <w:sz w:val="32"/>
          <w:szCs w:val="32"/>
        </w:rPr>
        <w:t xml:space="preserve">Key Decisions Before Development</w:t>
      </w:r>
    </w:p>
    <w:p>
      <w:pPr>
        <w:spacing w:before="60" w:after="8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The following decisions should be confirmed before V1 development begins to avoid costly rework later.</w:t>
      </w:r>
    </w:p>
    <w:p>
      <w:pPr>
        <w:spacing w:before="0" w:after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621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Decision</w:t>
            </w:r>
          </w:p>
        </w:tc>
        <w:tc>
          <w:tcPr>
            <w:tcW w:type="dxa" w:w="6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621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Recommendation</w:t>
            </w:r>
          </w:p>
        </w:tc>
      </w:tr>
      <w:t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Currency scope in V1</w:t>
            </w:r>
          </w:p>
        </w:tc>
        <w:tc>
          <w:tcPr>
            <w:tcW w:type="dxa" w:w="6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INR only — static. Multi-currency deferred to a later version. Base currency is set on profile and cannot be changed.</w:t>
            </w:r>
          </w:p>
        </w:tc>
      </w:tr>
      <w:t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CSV column format</w:t>
            </w:r>
          </w:p>
        </w:tc>
        <w:tc>
          <w:tcPr>
            <w:tcW w:type="dxa" w:w="6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Lock the columns before launch. Users will build workflows around the template. Changing it post-launch is a breaking change.</w:t>
            </w:r>
          </w:p>
        </w:tc>
      </w:tr>
      <w:t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Firestore security rules</w:t>
            </w:r>
          </w:p>
        </w:tc>
        <w:tc>
          <w:tcPr>
            <w:tcW w:type="dxa" w:w="6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Write and review rules before launch — not after. Every document must be readable only by its owning userId.</w:t>
            </w:r>
          </w:p>
        </w:tc>
      </w:tr>
      <w:t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Composite indexes</w:t>
            </w:r>
          </w:p>
        </w:tc>
        <w:tc>
          <w:tcPr>
            <w:tcW w:type="dxa" w:w="6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Plan Firestore composite indexes early for queries on userId + month + category. Missing indexes cause slow queries and quota issues in production.</w:t>
            </w:r>
          </w:p>
        </w:tc>
      </w:tr>
      <w:t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Auth providers in V1</w:t>
            </w:r>
          </w:p>
        </w:tc>
        <w:tc>
          <w:tcPr>
            <w:tcW w:type="dxa" w:w="6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Google OAuth + Email/Password. No phone auth, social login, or SSO in V1.</w:t>
            </w:r>
          </w:p>
        </w:tc>
      </w:tr>
    </w:tbl>
    <w:p>
      <w:pPr>
        <w:spacing w:before="0" w:after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1"/>
        <w:pBdr>
          <w:bottom w:val="single" w:color="1A6B3C" w:sz="8" w:space="6"/>
        </w:pBdr>
        <w:spacing w:before="320" w:after="120"/>
      </w:pPr>
      <w:r>
        <w:rPr>
          <w:rFonts w:ascii="Arial" w:cs="Arial" w:eastAsia="Arial" w:hAnsi="Arial"/>
          <w:b/>
          <w:bCs/>
          <w:color w:val="16213E"/>
          <w:sz w:val="32"/>
          <w:szCs w:val="32"/>
        </w:rPr>
        <w:t xml:space="preserve">Roadmap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000"/>
        <w:gridCol w:w="1800"/>
        <w:gridCol w:w="4360"/>
      </w:tblGrid>
      <w:tr>
        <w:trPr>
          <w:tblHeader/>
        </w:trP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621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621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621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Timeline</w:t>
            </w:r>
          </w:p>
        </w:tc>
        <w:tc>
          <w:tcPr>
            <w:tcW w:type="dxa" w:w="4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621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Primary Value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V1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MVP Tracker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5–6 weeks</w:t>
            </w:r>
          </w:p>
        </w:tc>
        <w:tc>
          <w:tcPr>
            <w:tcW w:type="dxa" w:w="4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Net worth visibility, manual tracking, CSV import/export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8DA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C3483"/>
                <w:sz w:val="20"/>
                <w:szCs w:val="20"/>
              </w:rPr>
              <w:t xml:space="preserve">V2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8DA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Insights Engine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8DA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4–5 weeks</w:t>
            </w:r>
          </w:p>
        </w:tc>
        <w:tc>
          <w:tcPr>
            <w:tcW w:type="dxa" w:w="4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8DA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Health score, projections, notifications, family accounts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BD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84212"/>
                <w:sz w:val="20"/>
                <w:szCs w:val="20"/>
              </w:rPr>
              <w:t xml:space="preserve">V3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BD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Integrations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BD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TBD</w:t>
            </w:r>
          </w:p>
        </w:tc>
        <w:tc>
          <w:tcPr>
            <w:tcW w:type="dxa" w:w="4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BD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Auto-sync from Zerodha, Angel One, and banks via AA framework</w:t>
            </w:r>
          </w:p>
        </w:tc>
      </w:tr>
    </w:tbl>
    <w:p>
      <w:pPr>
        <w:spacing w:before="0" w:after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0" w:after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3F4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F8C8D"/>
                <w:sz w:val="21"/>
                <w:szCs w:val="21"/>
              </w:rPr>
              <w:t xml:space="preserve">This document will be updated as decisions are confirmed and development progresses. Questions or feedback should be directed to the product owner.</w:t>
            </w:r>
          </w:p>
        </w:tc>
      </w:tr>
    </w:tbl>
    <w:sectPr>
      <w:headerReference w:type="default" r:id="rId6"/>
      <w:footerReference w:type="default" r:id="rId7"/>
      <w:pgSz w:w="12240" w:h="15840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DC3C7" w:sz="4" w:space="4"/>
      </w:pBdr>
      <w:tabs>
        <w:tab w:val="right" w:pos="9360"/>
      </w:tabs>
    </w:pPr>
    <w:r>
      <w:rPr>
        <w:rFonts w:ascii="Arial" w:cs="Arial" w:eastAsia="Arial" w:hAnsi="Arial"/>
        <w:color w:val="7F8C8D"/>
        <w:sz w:val="18"/>
        <w:szCs w:val="18"/>
      </w:rPr>
      <w:t xml:space="preserve">Internal Use Only  ·  Finsight v1.0</w:t>
    </w:r>
    <w:r>
      <w:rPr>
        <w:rFonts w:ascii="Arial" w:cs="Arial" w:eastAsia="Arial" w:hAnsi="Arial"/>
        <w:color w:val="7F8C8D"/>
        <w:sz w:val="18"/>
        <w:szCs w:val="18"/>
      </w:rPr>
      <w:t xml:space="preserve">	Page </w:t>
    </w:r>
    <w:r>
      <w:rPr>
        <w:rFonts w:ascii="Arial" w:cs="Arial" w:eastAsia="Arial" w:hAnsi="Arial"/>
        <w:color w:val="7F8C8D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720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7000"/>
      <w:gridCol w:w="2720"/>
    </w:tblGrid>
    <w:tr>
      <w:tc>
        <w:tcPr>
          <w:tcW w:type="dxa" w:w="70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</w:tcPr>
        <w:p>
          <w:r>
            <w:rPr>
              <w:rFonts w:ascii="Arial" w:cs="Arial" w:eastAsia="Arial" w:hAnsi="Arial"/>
              <w:b/>
              <w:bCs/>
              <w:color w:val="0F3460"/>
              <w:sz w:val="18"/>
              <w:szCs w:val="18"/>
            </w:rPr>
            <w:t xml:space="preserve">Finsight — Product &amp; Technical Roadmap</w:t>
          </w:r>
        </w:p>
      </w:tc>
      <w:tc>
        <w:tcPr>
          <w:tcW w:type="dxa" w:w="272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</w:tcPr>
        <w:p>
          <w:pPr>
            <w:jc w:val="right"/>
          </w:pPr>
          <w:r>
            <w:rPr>
              <w:rFonts w:ascii="Arial" w:cs="Arial" w:eastAsia="Arial" w:hAnsi="Arial"/>
              <w:i/>
              <w:iCs/>
              <w:color w:val="7F8C8D"/>
              <w:sz w:val="18"/>
              <w:szCs w:val="18"/>
            </w:rPr>
            <w:t xml:space="preserve">Confidential</w:t>
          </w:r>
        </w:p>
      </w:tc>
    </w:tr>
  </w:tbl>
  <w:p>
    <w:pPr>
      <w:pBdr>
        <w:bottom w:val="single" w:color="0F3460" w:sz="4" w:space="4"/>
      </w:pBdr>
    </w:pPr>
    <w:r>
      <w:rPr>
        <w:sz w:val="2"/>
        <w:szCs w:val="2"/>
      </w:rPr>
      <w:t xml:space="preserve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C3E50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20" w:after="120"/>
      <w:outlineLvl w:val="0"/>
    </w:pPr>
    <w:rPr>
      <w:rFonts w:ascii="Arial" w:cs="Arial" w:eastAsia="Arial" w:hAnsi="Arial"/>
      <w:b/>
      <w:bCs/>
      <w:color w:val="16213E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80"/>
      <w:outlineLvl w:val="1"/>
    </w:pPr>
    <w:rPr>
      <w:rFonts w:ascii="Arial" w:cs="Arial" w:eastAsia="Arial" w:hAnsi="Arial"/>
      <w:b/>
      <w:bCs/>
      <w:color w:val="0F3460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180" w:after="60"/>
      <w:outlineLvl w:val="2"/>
    </w:pPr>
    <w:rPr>
      <w:rFonts w:ascii="Arial" w:cs="Arial" w:eastAsia="Arial" w:hAnsi="Arial"/>
      <w:b/>
      <w:bCs/>
      <w:color w:val="2C3E50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2026-03-20T17:29:49.088Z</dcterms:created>
  <dcterms:modified xsi:type="dcterms:W3CDTF">2026-03-20T17:29:49.088Z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