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sz w:val="44"/>
          <w:szCs w:val="44"/>
        </w:rPr>
        <w:t xml:space="preserve">Architecture for Raising the Floor</w:t>
      </w:r>
    </w:p>
    <w:p>
      <w:pPr>
        <w:spacing w:after="480"/>
        <w:jc w:val="center"/>
      </w:pPr>
      <w:r>
        <w:rPr>
          <w:sz w:val="32"/>
          <w:szCs w:val="32"/>
        </w:rPr>
        <w:t xml:space="preserve">Foundation Document</w:t>
      </w:r>
    </w:p>
    <w:p>
      <w:pPr>
        <w:spacing w:after="720"/>
        <w:jc w:val="center"/>
      </w:pPr>
      <w:r>
        <w:rPr>
          <w:i/>
          <w:iCs/>
          <w:sz w:val="22"/>
          <w:szCs w:val="22"/>
        </w:rPr>
        <w:t xml:space="preserve">A regional cooperative architecture for restoring Christian community across Appalachia through comprehensive member institution, regional resource control, and structural protection that compounds across generations.</w:t>
      </w:r>
    </w:p>
    <w:p>
      <w:pPr>
        <w:spacing w:after="120"/>
        <w:jc w:val="center"/>
      </w:pPr>
      <w:r>
        <w:rPr>
          <w:sz w:val="22"/>
          <w:szCs w:val="22"/>
        </w:rPr>
        <w:t xml:space="preserve">Northwest Georgia Foundation Cell</w:t>
      </w:r>
    </w:p>
    <w:p>
      <w:pPr>
        <w:spacing w:after="480"/>
        <w:jc w:val="center"/>
      </w:pPr>
      <w:r>
        <w:rPr>
          <w:sz w:val="22"/>
          <w:szCs w:val="22"/>
        </w:rPr>
        <w:t xml:space="preserve">Catoosa, Walker, Dade, Chattooga</w:t>
      </w:r>
    </w:p>
    <w:p>
      <w:pPr>
        <w:spacing w:after="240"/>
        <w:jc w:val="center"/>
      </w:pPr>
      <w:r>
        <w:rPr>
          <w:i/>
          <w:iCs/>
          <w:sz w:val="20"/>
          <w:szCs w:val="20"/>
        </w:rPr>
        <w:t xml:space="preserve">Glory to God alone</w:t>
      </w:r>
    </w:p>
    <w:p>
      <w:pPr>
        <w:pStyle w:val="Heading1"/>
        <w:pageBreakBefore/>
        <w:spacing w:after="240" w:before="240"/>
      </w:pPr>
      <w:r>
        <w:t xml:space="preserve">The Central Articulation</w:t>
      </w:r>
    </w:p>
    <w:p>
      <w:pPr>
        <w:spacing w:after="180" w:line="320"/>
      </w:pPr>
      <w:r>
        <w:t xml:space="preserve">The architecture's purpose is to raise the floor.</w:t>
      </w:r>
    </w:p>
    <w:p>
      <w:pPr>
        <w:spacing w:after="180" w:line="320"/>
      </w:pPr>
      <w:r>
        <w:t xml:space="preserve">Not to produce wealth concentration among entrepreneurial members. Not to maximize financial returns for ownership. Not to achieve specific operational scale as endpoint. Not to build founder dynasty across generations. The architecture exists to raise the floor that all member families operate from across the broader Christian community in Appalachia.</w:t>
      </w:r>
    </w:p>
    <w:p>
      <w:pPr>
        <w:spacing w:after="180" w:line="320"/>
      </w:pPr>
      <w:r>
        <w:t xml:space="preserve">The floor is the economic baseline that every member family receives regardless of specific contribution variation or specific life circumstance. The floor establishes what cannot be lost. The floor protects against the failure modes that have hollowed out regional Christian community across more than a century. The architecture's continued operation is measured by how meaningfully the floor rises across the regional population over decades and generations.</w:t>
      </w:r>
    </w:p>
    <w:p>
      <w:pPr>
        <w:spacing w:after="180" w:line="320"/>
      </w:pPr>
      <w:r>
        <w:t xml:space="preserve">Every structural element of the architecture serves this purpose. The cooperative legal entity. The producer cooperative member program. The worker progression structure. The Christian business cluster. The four material verticals. The healthcare infrastructure. The mission framework. The capital infrastructure including fund, token, COLI, credit union, and self-insurance mechanisms. The platform replication architecture. The founding board and governance. The bounded founder family position. The wise as serpents and harmless as doves discipline. The multi-generational horizon. Each element operates as means toward floor raising rather than as end in itself.</w:t>
      </w:r>
    </w:p>
    <w:p>
      <w:pPr>
        <w:spacing w:after="180" w:line="320"/>
      </w:pPr>
      <w:r>
        <w:t xml:space="preserve">The vision is Luxembourg-equivalent prosperity for Appalachia. Population approximately 25 million across the broader regional footprint. Substantial economic security combined with substantial economic capacity for the regional population broadly rather than concentrated among elite minority. Comprehensive social infrastructure that operates at the standard of the world's most prosperous regions. The architecture exists to produce this prosperity through floor raising at population scale across the multi-generational horizon.</w:t>
      </w:r>
    </w:p>
    <w:p>
      <w:pPr>
        <w:spacing w:after="180" w:line="320"/>
      </w:pPr>
      <w:r>
        <w:t xml:space="preserve">The simple statement governs operational decisions across substantial scale. Specific decisions evaluate against floor raising. Specific capital deployment evaluates against floor raising. Specific structural commitments evaluate against floor raising. Specific personnel decisions evaluate against floor raising. Specific institutional partnerships evaluate against floor raising. The clarity supports consistent evaluation across the architecture's complexity.</w:t>
      </w:r>
    </w:p>
    <w:p>
      <w:pPr>
        <w:pStyle w:val="Heading1"/>
        <w:pageBreakBefore/>
        <w:spacing w:after="240" w:before="240"/>
      </w:pPr>
      <w:r>
        <w:t xml:space="preserve">Theological Foundation</w:t>
      </w:r>
    </w:p>
    <w:p>
      <w:pPr>
        <w:spacing w:after="180" w:line="320"/>
      </w:pPr>
      <w:r>
        <w:t xml:space="preserve">The architecture operates inside specific Christian theological tradition rather than as innovation. The foundation is the confession that Jesus is the Son of the Living God. This confession governs participation in the mission framework, the broader institutional engagement, and the structural commitments that the architecture maintains across the multi-generational horizon.</w:t>
      </w:r>
    </w:p>
    <w:p>
      <w:pPr>
        <w:spacing w:after="180" w:line="320"/>
      </w:pPr>
      <w:r>
        <w:t xml:space="preserve">The biblical pattern includes substantial wisdom about prosperity for God's people that operates broadly rather than concentrating among elite. Jubilee. Sabbath economics. Gleaning provisions. The various Old Testament economic structures that produce broad sufficiency. The architecture's floor raising purpose operates inside this biblical pattern. The architecture does not operate as innovation against tradition. The architecture operates as recovery of structural patterns that biblical tradition has carried across millennia.</w:t>
      </w:r>
    </w:p>
    <w:p>
      <w:pPr>
        <w:spacing w:after="180" w:line="320"/>
      </w:pPr>
      <w:r>
        <w:t xml:space="preserve">The foundational instruction comes from Matthew 10:16. Jesus sending out the twelve. Behold, I send you out as sheep in the midst of wolves. Be wise as serpents and harmless as doves. The instruction names the operational discipline that the architecture maintains. Strategic sophistication about how the world actually operates combined with operational integrity that does not become what the architecture is sent to address.</w:t>
      </w:r>
    </w:p>
    <w:p>
      <w:pPr>
        <w:spacing w:after="180" w:line="320"/>
      </w:pPr>
      <w:r>
        <w:t xml:space="preserve">The ecclesiology operates from Matthew 18:20. Where two or more are gathered in His name. The architecture serves Christian community across denominational lines rather than serving any specific denominational claim to remnant church status. The architecture's mission framework engages churches that confess Jesus is Son of the Living God regardless of broader denominational variation. The architecture operates as cross-denominational connective infrastructure that strengthens specific churches and specific traditions while connecting them in shared institutional fabric.</w:t>
      </w:r>
    </w:p>
    <w:p>
      <w:pPr>
        <w:spacing w:after="180" w:line="320"/>
      </w:pPr>
      <w:r>
        <w:t xml:space="preserve">The discipline rejects two failure modes. The first is strategic sophistication without integrity that produces capital structures designed primarily for extraction even while claiming legitimate purpose. The second is integrity without sophistication that maintains purity while failing to accomplish substantial regional impact. The combination produces architecture that delivers substantial regional good while preserving integrity across the multi-generational horizon.</w:t>
      </w:r>
    </w:p>
    <w:p>
      <w:pPr>
        <w:spacing w:after="180" w:line="320"/>
      </w:pPr>
      <w:r>
        <w:t xml:space="preserve">Scripture operates as external authority for the architecture's structural commitments. The World English Bible serves as the human interface layer. The Westminster Leningrad Codex (Hebrew) and Robinson-Pierpont Byzantine Majority Text (Greek) operate as internal authority sources. Scripture replaces self-referential consensus in governance and alignment frameworks. The architecture's structural integrity depends on this external anchor rather than on internal agreement that may drift across generations.</w:t>
      </w:r>
    </w:p>
    <w:p>
      <w:pPr>
        <w:pStyle w:val="Heading1"/>
        <w:pageBreakBefore/>
        <w:spacing w:after="240" w:before="240"/>
      </w:pPr>
      <w:r>
        <w:t xml:space="preserve">The Antivirus Framing</w:t>
      </w:r>
    </w:p>
    <w:p>
      <w:pPr>
        <w:spacing w:after="180" w:line="320"/>
      </w:pPr>
      <w:r>
        <w:t xml:space="preserve">The architecture operates inside specific hostile territory. The corporate economic system that has hollowed out regional Christian community across generations is the wolf. The cultural patterns pressuring family farms toward corporate dependency are the wolf. The systemic extraction operating across food, healthcare, construction, banking, insurance, education, and broader life infrastructure is the wolf. The pattern of regional resource extraction flowing wealth from Appalachia to corporate centers across generations is the wolf.</w:t>
      </w:r>
    </w:p>
    <w:p>
      <w:pPr>
        <w:spacing w:after="180" w:line="320"/>
      </w:pPr>
      <w:r>
        <w:t xml:space="preserve">The architecture as antivirus operates inside this hostile territory rather than outside it. The architecture does not retreat to isolated parallel community while the corporate system continues operating. The architecture engages the corporate system at the level of regional substance, capturing market position through superior member service, cutting middleman extraction across multiple industries, and producing structural alternatives that deliver substantially better outcomes for regional population than corporate alternatives produce.</w:t>
      </w:r>
    </w:p>
    <w:p>
      <w:pPr>
        <w:spacing w:after="180" w:line="320"/>
      </w:pPr>
      <w:r>
        <w:t xml:space="preserve">The antivirus produces specific outcomes. The cooperative captures regional production by offering producer cooperative member families terms that corporate agriculture cannot match. The Christian business cluster captures regional service spending by operating inside participating church infrastructure with substantially lower overhead than commercial alternatives. The healthcare infrastructure captures regional healthcare spending by operating inside cooperative member institution model rather than inside commercial insurance frameworks. Each capture redirects regional capital flow from extraction to floor raising.</w:t>
      </w:r>
    </w:p>
    <w:p>
      <w:pPr>
        <w:spacing w:after="180" w:line="320"/>
      </w:pPr>
      <w:r>
        <w:t xml:space="preserve">The antivirus operates without becoming the wolf. The architecture does not extract from members the way corporate systems extract. The architecture does not deceive members about how operations work. The architecture does not capture members as customer base for narrow benefit. The architecture does not maximize founder family wealth accumulation. The structural commitments preserve the architecture as something different from what it is sent to address rather than allowing the architecture to become what it is addressing.</w:t>
      </w:r>
    </w:p>
    <w:p>
      <w:pPr>
        <w:pStyle w:val="Heading1"/>
        <w:pageBreakBefore/>
        <w:spacing w:after="240" w:before="240"/>
      </w:pPr>
      <w:r>
        <w:t xml:space="preserve">The TVA Framing: Infrastructure Provider</w:t>
      </w:r>
    </w:p>
    <w:p>
      <w:pPr>
        <w:spacing w:after="180" w:line="320"/>
      </w:pPr>
      <w:r>
        <w:t xml:space="preserve">The cooperative is foundational infrastructure that regional industry operates inside, not the direct operator of expansive multi-industry operations across many categories. This framing resolves substantial questions about operational scope and capital deployment.</w:t>
      </w:r>
    </w:p>
    <w:p>
      <w:pPr>
        <w:spacing w:after="180" w:line="320"/>
      </w:pPr>
      <w:r>
        <w:t xml:space="preserve">The cooperative provides specific infrastructure. Patient capital through the fund mechanism. Workforce through the worker progression structure. Operational space through participating church facility relationships and through specific concentrated facilities. Markets through cooperative member networks. Financial services through cooperative banking, self-insurance, and credit union operations. Legal services through cooperative legal counsel that extends to member service. Healthcare access through cooperative healthcare infrastructure. Each element operates as infrastructure that regional industry uses rather than as industry the cooperative directly operates across many categories.</w:t>
      </w:r>
    </w:p>
    <w:p>
      <w:pPr>
        <w:spacing w:after="180" w:line="320"/>
      </w:pPr>
      <w:r>
        <w:t xml:space="preserve">Regional industry operates inside cooperative infrastructure with substantial regional ownership rather than corporate ownership. Producer cooperative members operate their own farms inside cooperative infrastructure. Christian business cluster operators run their own businesses inside cooperative infrastructure. Manufacturing operations including the four material verticals and eventual textile and broader manufacturing recovery operate as integrated regional industry inside cooperative infrastructure. The cooperative does not own each operation directly. Members own substantial portions of operations that operate inside cooperative infrastructure.</w:t>
      </w:r>
    </w:p>
    <w:p>
      <w:pPr>
        <w:spacing w:after="180" w:line="320"/>
      </w:pPr>
      <w:r>
        <w:t xml:space="preserve">The cooperative captures fees and operational margins for infrastructure access. The fund earns service charges on capital deployment. The cooperative earns operational margins on services provided through member relationships. The cooperative captures patronage flow through its substantial transaction volume. The aggregate capture supports continued cooperative operation that supports continued infrastructure provision that supports continued regional industry development.</w:t>
      </w:r>
    </w:p>
    <w:p>
      <w:pPr>
        <w:spacing w:after="180" w:line="320"/>
      </w:pPr>
      <w:r>
        <w:t xml:space="preserve">The infrastructure provider framing significantly simplifies operational complexity compared to direct operator framing. The cooperative does not need expertise in every industry where regional ownership operates. The cooperative provides infrastructure that supports many industries operating with their own expertise. The cooperative scales through infrastructure depth and breadth rather than through expanding operational expertise across many specific industry categories.</w:t>
      </w:r>
    </w:p>
    <w:p>
      <w:pPr>
        <w:spacing w:after="180" w:line="320"/>
      </w:pPr>
      <w:r>
        <w:t xml:space="preserve">The framing also produces broader floor raising. Many member families operate businesses inside cooperative infrastructure. Each operates with their own capacity and substance. The aggregate effect raises floors across many member families rather than concentrating success or failure in cooperative direct operations across narrow industry categories.</w:t>
      </w:r>
    </w:p>
    <w:p>
      <w:pPr>
        <w:pStyle w:val="Heading1"/>
        <w:pageBreakBefore/>
        <w:spacing w:after="240" w:before="240"/>
      </w:pPr>
      <w:r>
        <w:t xml:space="preserve">The Disintermediation Purpose</w:t>
      </w:r>
    </w:p>
    <w:p>
      <w:pPr>
        <w:spacing w:after="180" w:line="320"/>
      </w:pPr>
      <w:r>
        <w:t xml:space="preserve">The architecture cuts middleman extraction across multiple industries simultaneously. This is the cooperative's distinctive economic function and the source of substantial capital that flows to floor raising rather than to corporate extraction.</w:t>
      </w:r>
    </w:p>
    <w:p>
      <w:pPr>
        <w:spacing w:after="180" w:line="320"/>
      </w:pPr>
      <w:r>
        <w:t xml:space="preserve">The pattern operates across food, where producer cooperative members sell directly to cooperative distribution that serves member families and regional markets without industrial food processing extraction. Across construction, where the four material verticals integrate with regional builders and architecture-supported construction at cost basis pricing rather than commercial supply chain markups. Across healthcare, where cooperative healthcare infrastructure serves members directly without insurance company administrative extraction. Across banking, where cooperative credit union operations serve members directly without commercial banking spread extraction. Across education, where cooperative educational operations and CTAE pipeline integration serve members directly without commercial education service provider extraction. Across athletic training, where FCA partnership and cooperative athletic operations serve members directly. Across childcare, where cooperative daycare operations through participating church facilities serve members directly. Across manufacturing, where cooperative-supported manufacturing operations serve regional markets directly without globalized supply chain extraction.</w:t>
      </w:r>
    </w:p>
    <w:p>
      <w:pPr>
        <w:spacing w:after="180" w:line="320"/>
      </w:pPr>
      <w:r>
        <w:t xml:space="preserve">The cumulative cut middleman extraction across multiple industries across decades produces substantial capital that flows to floor raising rather than to corporate extraction. The architecture's success operates at the scale of how much extraction it cuts and how much that captured value supports the broader floor raising purpose.</w:t>
      </w:r>
    </w:p>
    <w:p>
      <w:pPr>
        <w:spacing w:after="180" w:line="320"/>
      </w:pPr>
      <w:r>
        <w:t xml:space="preserve">The disintermediation operates inside legitimate frameworks rather than at frameworks' edges. The cooperative legal structure operates inside Subchapter T cooperative tax framework. The producer cooperative member contracts operate inside specific contract law and agricultural cooperative frameworks. The Christian business cluster operates inside specific landlord-tenant relationships with participating churches and inside specific small business operational frameworks. The healthcare operations operate inside specific healthcare regulatory frameworks. The banking operations operate inside credit union regulatory framework. Each element operates inside legitimate framework while accomplishing the disintermediation purpose.</w:t>
      </w:r>
    </w:p>
    <w:p>
      <w:pPr>
        <w:pStyle w:val="Heading1"/>
        <w:pageBreakBefore/>
        <w:spacing w:after="240" w:before="240"/>
      </w:pPr>
      <w:r>
        <w:t xml:space="preserve">Regional Resource Control</w:t>
      </w:r>
    </w:p>
    <w:p>
      <w:pPr>
        <w:spacing w:after="180" w:line="320"/>
      </w:pPr>
      <w:r>
        <w:t xml:space="preserve">Appalachia has been systematically stripped of natural resource wealth across more than a century. Coal extracted at enormous scale with the wealth flowing to corporate centers. Timber harvested at enormous scale with similar extraction patterns. Natural gas extracted with royalties operating at fractional rates compared to what other regions receive. Mineral wealth extracted under leases that captured tiny fractions of actual value for local landowners. Water resources increasingly extracted for downstream and out-of-region use without regional benefit.</w:t>
      </w:r>
    </w:p>
    <w:p>
      <w:pPr>
        <w:spacing w:after="180" w:line="320"/>
      </w:pPr>
      <w:r>
        <w:t xml:space="preserve">The pattern continues. Current resource extraction operates with similar structural patterns. Rare earth minerals. Lithium and other battery materials emerging in regional geology. Continued natural gas extraction. Continued timber operations. Each produces substantial wealth that flows out of the region under existing extraction structures.</w:t>
      </w:r>
    </w:p>
    <w:p>
      <w:pPr>
        <w:spacing w:after="180" w:line="320"/>
      </w:pPr>
      <w:r>
        <w:t xml:space="preserve">The architecture's purpose includes systematic gain of regional control over resource extraction rather than allowing continued corporate extraction patterns to operate. Regional control plus monetization for regional benefit produces wealth accumulation at the scale that supports Luxembourg-equivalent prosperity across decades. Control without monetization produces conservation but not prosperity. Monetization without regional control produces extraction. The combination operates inside the broader architectural purpose of floor raising at population scale.</w:t>
      </w:r>
    </w:p>
    <w:p>
      <w:pPr>
        <w:pStyle w:val="Heading3"/>
        <w:spacing w:after="120" w:before="240"/>
      </w:pPr>
      <w:r>
        <w:t xml:space="preserve">Specific Resource Categories</w:t>
      </w:r>
    </w:p>
    <w:p>
      <w:pPr>
        <w:spacing w:after="180" w:line="320"/>
      </w:pPr>
      <w:r>
        <w:t xml:space="preserve">Coal and energy infrastructure. Coal extraction has declined substantially across recent decades but coal infrastructure, coal-related land holdings, and broader energy economic infrastructure remain throughout Appalachia. Energy generation infrastructure including coal-fired generation, natural gas operations, hydropower, and emerging renewable operations operates at substantial scale. The architecture pursues regional control of substantial energy infrastructure that produces regional energy at regional pricing for regional benefit while monetizing energy production for regional capital accumulation.</w:t>
      </w:r>
    </w:p>
    <w:p>
      <w:pPr>
        <w:spacing w:after="180" w:line="320"/>
      </w:pPr>
      <w:r>
        <w:t xml:space="preserve">Timber and forest operations. Substantial timber resources operate across Appalachia. The four material verticals through Tom's integrated build partnership include timber as one vertical. The strategic posture extends from operational integration of timber for cooperative construction to broader regional timber control that monetizes timber resources for regional benefit. Specific institutional fabric represented by Pullen's forest business operations in Dade County and similar operations across the broader region operating inside cooperative platform commitments produces regional timber control at scale.</w:t>
      </w:r>
    </w:p>
    <w:p>
      <w:pPr>
        <w:spacing w:after="180" w:line="320"/>
      </w:pPr>
      <w:r>
        <w:t xml:space="preserve">Mining operations. The four material verticals include stone through Tom's Sand Mountain operations. The broader mining capability extends to copper through the Ducktown adjacent operations, marble through Pickens County, and emerging mining operations including rare earth minerals, lithium, and other battery materials emerging in regional geology. The architecture pursues regional control of substantial mining operations that monetize regional mineral wealth for regional benefit.</w:t>
      </w:r>
    </w:p>
    <w:p>
      <w:pPr>
        <w:spacing w:after="180" w:line="320"/>
      </w:pPr>
      <w:r>
        <w:t xml:space="preserve">Natural gas operations. Substantial natural gas reserves operate across Appalachia. Current extraction patterns flow substantial wealth out of the region. The architecture pursues regional control of natural gas operations or specific royalty arrangements that produce substantial regional capital flow rather than continued extraction.</w:t>
      </w:r>
    </w:p>
    <w:p>
      <w:pPr>
        <w:spacing w:after="180" w:line="320"/>
      </w:pPr>
      <w:r>
        <w:t xml:space="preserve">Water resources. Substantial water resources operate across Appalachia. Increasing demand for water from outside the region creates pressure on regional water resources. The architecture pursues regional water control that supports regional needs while potentially monetizing water resources for regional benefit when external demand is appropriate and aligned with regional purpose.</w:t>
      </w:r>
    </w:p>
    <w:p>
      <w:pPr>
        <w:spacing w:after="180" w:line="320"/>
      </w:pPr>
      <w:r>
        <w:t xml:space="preserve">Land at scale. Beyond specific resource operations, substantial land ownership across the region produces capital base for broader resource control. The architecture's capital strategy includes substantial land acquisition across decades that builds regional land control alongside specific resource operation control. Land of historical, natural, or mineral value receives priority within the broader land acquisition framework.</w:t>
      </w:r>
    </w:p>
    <w:p>
      <w:pPr>
        <w:spacing w:after="180" w:line="320"/>
      </w:pPr>
      <w:r>
        <w:t xml:space="preserve">Cultural and intellectual property. Appalachian cultural heritage including music, traditions, regional brand, regional identity operates as economic asset at substantial scale. The architecture pursues regional control of regional cultural and intellectual property that monetizes the cultural heritage for regional benefit rather than allowing continued capture by external commercial interests.</w:t>
      </w:r>
    </w:p>
    <w:p>
      <w:pPr>
        <w:spacing w:after="180" w:line="320"/>
      </w:pPr>
      <w:r>
        <w:t xml:space="preserve">Tourism and hospitality. Appalachian tourism operates at substantial scale. The architecture pursues regional control of substantial tourism infrastructure that monetizes regional natural beauty and cultural heritage for regional benefit, building on specific institutional partnerships including Rock City through the Chapin family connection.</w:t>
      </w:r>
    </w:p>
    <w:p>
      <w:pPr>
        <w:spacing w:after="180" w:line="320"/>
      </w:pPr>
      <w:r>
        <w:t xml:space="preserve">Manufacturing recovery. Appalachian manufacturing has been substantially destroyed through globalization patterns. The architecture pursues manufacturing recovery that produces substantial regional industrial substance. Mount Vernon Mills as the textile example operates as one specific case where the architecture eventually acquires substantial industrial infrastructure including the Trion plant in Chattooga County. Similar manufacturing operations across the broader region operating inside cooperative architecture produce substantial regional industrial wealth.</w:t>
      </w:r>
    </w:p>
    <w:p>
      <w:pPr>
        <w:pStyle w:val="Heading1"/>
        <w:pageBreakBefore/>
        <w:spacing w:after="240" w:before="240"/>
      </w:pPr>
      <w:r>
        <w:t xml:space="preserve">Luxembourg-Equivalent Prosperity</w:t>
      </w:r>
    </w:p>
    <w:p>
      <w:pPr>
        <w:spacing w:after="180" w:line="320"/>
      </w:pPr>
      <w:r>
        <w:t xml:space="preserve">The architecture's eventual scale produces prosperity for the Appalachian population at the standard the world's most prosperous regions have achieved. Luxembourg's prosperity provides the comparison. Population approximately 670,000. GDP per capita over $130,000, among the highest in the world. Comprehensive social infrastructure. High quality healthcare, education, public services. Strong financial sector. Diversified economy. Multilingual cultural sophistication. Long political stability. Citizens experience substantial economic security and substantial economic capacity simultaneously across the broad population rather than concentrated in elite minority.</w:t>
      </w:r>
    </w:p>
    <w:p>
      <w:pPr>
        <w:spacing w:after="180" w:line="320"/>
      </w:pPr>
      <w:r>
        <w:t xml:space="preserve">The architecture aims at equivalent prosperity for the Appalachian population. Approximately 25 million people across north Georgia, north Alabama, eastern Tennessee, western North Carolina, southwest Virginia, eastern Kentucky, southern West Virginia, and western Pennsylvania. The transformation operates across decades and generations rather than across years. Foundation cell deployment launches the work. Subsequent regional cells extend it. Multi-generational sustained execution produces the transformation.</w:t>
      </w:r>
    </w:p>
    <w:p>
      <w:pPr>
        <w:spacing w:after="180" w:line="320"/>
      </w:pPr>
      <w:r>
        <w:t xml:space="preserve">Luxembourg's prosperity emerged from specific historical conditions including geography, political development, financial sector emergence, post-war integration, and broader factors operating inside specific contexts. Appalachian transformation operates in different context with different conditions. The transformation will produce different specific shape than Luxembourg even if the broader prosperity outcome resembles Luxembourg's economic position.</w:t>
      </w:r>
    </w:p>
    <w:p>
      <w:pPr>
        <w:spacing w:after="180" w:line="320"/>
      </w:pPr>
      <w:r>
        <w:t xml:space="preserve">The architecture's structural elements collectively produce the transformation. Comprehensive member institution model produces broad regional economic security. Regional resource control produces substantial regional capital base. Manufacturing recovery produces substantial regional industrial substance. Disintermediation produces substantial captured value flowing to floor raising. Cross-denominational connective infrastructure produces substantial regional cultural cohesion. Token mechanism enables strategic capital deployment for substantial regional acquisitions. Each element contributes. The aggregate produces Luxembourg-equivalent prosperity.</w:t>
      </w:r>
    </w:p>
    <w:p>
      <w:pPr>
        <w:spacing w:after="180" w:line="320"/>
      </w:pPr>
      <w:r>
        <w:t xml:space="preserve">The vision is appropriate to the calling and to the regional need. The Appalachian population has experienced substantial systemic harm across generations through extraction patterns, manufacturing displacement, agricultural consolidation, and cultural denigration. Producing transformation that delivers substantial prosperity for this population addresses real injustice through structural mechanisms rather than through political agitation alone. The work operates as biblical restoration at regional scale.</w:t>
      </w:r>
    </w:p>
    <w:p>
      <w:pPr>
        <w:pStyle w:val="Heading1"/>
        <w:pageBreakBefore/>
        <w:spacing w:after="240" w:before="240"/>
      </w:pPr>
      <w:r>
        <w:t xml:space="preserve">Cross-Denominational Connective Infrastructure</w:t>
      </w:r>
    </w:p>
    <w:p>
      <w:pPr>
        <w:spacing w:after="180" w:line="320"/>
      </w:pPr>
      <w:r>
        <w:t xml:space="preserve">The architecture operates as connective infrastructure across Christian denominational lines rather than as denomination itself or as platform serving any specific denominational claim to remnant church status. The infrastructure ties churches together through shared institutional fabric while preserving each church's specific denominational identity, practice, and tradition.</w:t>
      </w:r>
    </w:p>
    <w:p>
      <w:pPr>
        <w:spacing w:after="180" w:line="320"/>
      </w:pPr>
      <w:r>
        <w:t xml:space="preserve">The Matthew 18:20 ecclesiology grounds the framing. Where two or more are gathered in His name, Jesus is present. The architecture's mission framework engages churches that confess Jesus is Son of the Living God across the broader denominational fabric. Baptists. Methodists. Presbyterians. Pentecostals. Anglicans. Lutherans. Catholics where local engagement supports the framework. Orthodox where local engagement supports the framework. Specific denominational variation operates inside the framework rather than as obstacle to the framework.</w:t>
      </w:r>
    </w:p>
    <w:p>
      <w:pPr>
        <w:spacing w:after="180" w:line="320"/>
      </w:pPr>
      <w:r>
        <w:t xml:space="preserve">The architecture serves the broad Protestant majority that has not built comprehensive infrastructure for itself the way specific denominations have built such infrastructure. Adventists have built comprehensive member institution model with specific theological framework. Mormons have built comprehensive member institution model with specific theological framework. Catholics have built comprehensive institutional infrastructure with specific theological framework. Orthodox have built comprehensive institutional infrastructure with specific theological framework. The broader Protestant majority lacks equivalent comprehensive infrastructure operating across denominational lines. The architecture provides this infrastructure.</w:t>
      </w:r>
    </w:p>
    <w:p>
      <w:pPr>
        <w:spacing w:after="180" w:line="320"/>
      </w:pPr>
      <w:r>
        <w:t xml:space="preserve">The framing recognizes the strengths in different traditions. The mission mindset of Mormons. The thoughtfulness of Adventists. The intellectual depth of Catholics. The structural alignment of Orthodox. Each tradition contributes wisdom that the broader Christian community benefits from. The architecture does not claim superiority over these traditions. The architecture provides connective infrastructure for the broader Christian community that has not yet built equivalent comprehensive structure for itself.</w:t>
      </w:r>
    </w:p>
    <w:p>
      <w:pPr>
        <w:spacing w:after="180" w:line="320"/>
      </w:pPr>
      <w:r>
        <w:t xml:space="preserve">Each church operating inside the mission framework maintains complete denominational autonomy. The architecture provides infrastructure. The church operates its own theological identity, worship practice, polity, sacramental life, and broader denominational engagement. The architecture's confession requirement (Jesus is Son of the Living God) is the gateway. Specific denominational variation beyond this confession operates inside whatever each church carries as its own tradition.</w:t>
      </w:r>
    </w:p>
    <w:p>
      <w:pPr>
        <w:pStyle w:val="Heading1"/>
        <w:pageBreakBefore/>
        <w:spacing w:after="240" w:before="240"/>
      </w:pPr>
      <w:r>
        <w:t xml:space="preserve">The Mission Framework</w:t>
      </w:r>
    </w:p>
    <w:p>
      <w:pPr>
        <w:spacing w:after="180" w:line="320"/>
      </w:pPr>
      <w:r>
        <w:t xml:space="preserve">The mission framework is the relational structure that ties participating churches to the broader cooperative architecture. Churches that confess Jesus is Son of the Living God may participate in the framework subject to specific operational alignment with the architecture's structural commitments.</w:t>
      </w:r>
    </w:p>
    <w:p>
      <w:pPr>
        <w:spacing w:after="180" w:line="320"/>
      </w:pPr>
      <w:r>
        <w:t xml:space="preserve">Participating churches receive specific benefits. Lease income from cooperative business cluster operations using church facilities. Operational integration with cooperative member institution model serving church congregants. Coordinated regional engagement across multiple churches supporting broader regional Christian community. Support for church infrastructure including facility maintenance, lawn care, nursery support, and broader operational support through cooperative worker availability.</w:t>
      </w:r>
    </w:p>
    <w:p>
      <w:pPr>
        <w:spacing w:after="180" w:line="320"/>
      </w:pPr>
      <w:r>
        <w:t xml:space="preserve">Participating churches contribute specific elements. Facility access for cooperative business cluster operations during weekdays under specific lease arrangements. Coordination with cooperative member relationship management for congregants who participate in cooperative operations. Engagement with broader regional cooperative architecture across the multi-generational horizon. Specific structural alignment with the architecture's broader commitments while preserving denominational autonomy.</w:t>
      </w:r>
    </w:p>
    <w:p>
      <w:pPr>
        <w:spacing w:after="180" w:line="320"/>
      </w:pPr>
      <w:r>
        <w:t xml:space="preserve">The framework operates inside specific structural protections that preserve church identity and institutional separation appropriately. The cooperative does not direct church theology, polity, worship, or sacramental practice. The church does not direct cooperative operational decisions. Each operates inside its specific institutional sphere while coordinating in shared infrastructure.</w:t>
      </w:r>
    </w:p>
    <w:p>
      <w:pPr>
        <w:spacing w:after="180" w:line="320"/>
      </w:pPr>
      <w:r>
        <w:t xml:space="preserve">The framework engagement begins with specific anchor churches in the foundation cell service area. Two or three churches with leadership ready to engage with the architecture in specific structural relationship. Initial deployment proves the framework operationally. Subsequent participating churches join as the framework develops operational substance and as additional church leadership engages with the framework's purposes.</w:t>
      </w:r>
    </w:p>
    <w:p>
      <w:pPr>
        <w:pStyle w:val="Heading1"/>
        <w:pageBreakBefore/>
        <w:spacing w:after="240" w:before="240"/>
      </w:pPr>
      <w:r>
        <w:t xml:space="preserve">Comprehensive Member Institution Model</w:t>
      </w:r>
    </w:p>
    <w:p>
      <w:pPr>
        <w:spacing w:after="180" w:line="320"/>
      </w:pPr>
      <w:r>
        <w:t xml:space="preserve">The cooperative operates as comprehensive member institution serving member families across the full life rather than transactionally on specific services. Each member family enters covenant relationship with the architecture that provides comprehensive services across the family's life rather than transactional engagement on specific services.</w:t>
      </w:r>
    </w:p>
    <w:p>
      <w:pPr>
        <w:spacing w:after="180" w:line="320"/>
      </w:pPr>
      <w:r>
        <w:t xml:space="preserve">The aggregated services provide substantial life infrastructure. Food access through cooperative supply at member pricing through retail, wholesale, and barn cafeteria channels. Healthcare through doctor, dentist, and veterinary services accessible at participating church facilities and at specific concentrated healthcare facilities. Housing through architecture-provided rental housing for workers and professionals plus construction support for member family building projects on member family land at cost basis pricing plus mortgage financing through the credit union. Insurance through cooperative self-insurance covering property, casualty, health, life, disability, crop, transition, auto, and workers compensation calibrated to actual risk rather than commercial pricing assumptions. Banking through credit union operations including deposits, lending, payments, and broader financial services. Legal services through cooperative legal counsel including estate planning, real estate, family law, tax planning, contract review, and broader legal needs. Worker progression and education through the four-stage worker progression structure plus CTAE pipeline integration. Mission framework participation through church engagement providing community life, religious education, fellowship, and the broader spiritual context of family life. End-of-life care through funeral benefit and broader end-of-life support.</w:t>
      </w:r>
    </w:p>
    <w:p>
      <w:pPr>
        <w:spacing w:after="180" w:line="320"/>
      </w:pPr>
      <w:r>
        <w:t xml:space="preserve">The aggregated infrastructure across these dimensions provides member families with comprehensive life infrastructure that no individual family could assemble independently and that no commercial alternative provides at member-favorable terms. The architecture is the member family's primary economic and institutional context across the family's life.</w:t>
      </w:r>
    </w:p>
    <w:p>
      <w:pPr>
        <w:spacing w:after="180" w:line="320"/>
      </w:pPr>
      <w:r>
        <w:t xml:space="preserve">The economic model captures comprehensive member family spending across multiple service categories rather than competing for transactional spending in any single category. A member family operating fully inside the architecture's services spends meaningfully through architecture services rather than through commercial competitors. The architecture aggregates this spending across member families and operates the services at scale that supports operations while serving members at substantially advantageous terms.</w:t>
      </w:r>
    </w:p>
    <w:p>
      <w:pPr>
        <w:spacing w:after="180" w:line="320"/>
      </w:pPr>
      <w:r>
        <w:t xml:space="preserve">The model produces broad floor raising through comprehensive cost reduction across multiple service categories. Healthcare savings. Food savings. Insurance savings. Banking savings. Legal services savings. Each savings category supports family economic position. The aggregate cost reduction across all categories produces meaningful family disposable income that supports broader family economic development beyond what any single service category alone produces.</w:t>
      </w:r>
    </w:p>
    <w:p>
      <w:pPr>
        <w:pStyle w:val="Heading1"/>
        <w:pageBreakBefore/>
        <w:spacing w:after="240" w:before="240"/>
      </w:pPr>
      <w:r>
        <w:t xml:space="preserve">Member Equity Architecture: Floor and Borrowing Capacity</w:t>
      </w:r>
    </w:p>
    <w:p>
      <w:pPr>
        <w:spacing w:after="180" w:line="320"/>
      </w:pPr>
      <w:r>
        <w:t xml:space="preserve">Each member family has an equity account in the cooperative. The account tracks accumulating equity from contributions, from patronage, from worker progression equity, and from the various sources that build member position in the architecture across time. The account is the family's record of their economic position in the cooperative.</w:t>
      </w:r>
    </w:p>
    <w:p>
      <w:pPr>
        <w:pStyle w:val="Heading2"/>
        <w:spacing w:after="160" w:before="280"/>
      </w:pPr>
      <w:r>
        <w:t xml:space="preserve">The Floor</w:t>
      </w:r>
    </w:p>
    <w:p>
      <w:pPr>
        <w:spacing w:after="180" w:line="320"/>
      </w:pPr>
      <w:r>
        <w:t xml:space="preserve">Each member family has a floor balance in their equity account. The floor cannot be drawn below regardless of family circumstance. Successive generations of family members may make various life choices. Some may operate cooperatively inside the architecture. Some may pursue careers outside the cooperative. Some may face specific life difficulties. The floor preserves family economic infrastructure regardless of specific generational circumstances.</w:t>
      </w:r>
    </w:p>
    <w:p>
      <w:pPr>
        <w:spacing w:after="180" w:line="320"/>
      </w:pPr>
      <w:r>
        <w:t xml:space="preserve">The floor operates as universal baseline rather than as specific allocation. Every member family receives the floor regardless of specific contribution variations. The floor establishes what cannot be lost. The architecture's purpose is to make this floor meaningful at scale that produces substantial broad prosperity.</w:t>
      </w:r>
    </w:p>
    <w:p>
      <w:pPr>
        <w:spacing w:after="180" w:line="320"/>
      </w:pPr>
      <w:r>
        <w:t xml:space="preserve">The floor amount scales with the architecture's success across decades. As the architecture produces substantial regional substance through resource control, manufacturing recovery, comprehensive operations, and accumulated capital base, the floor adjusts upward proportionally. Population-wide prosperity emerges through population-wide floor raising rather than through wealth concentration among narrow ownership.</w:t>
      </w:r>
    </w:p>
    <w:p>
      <w:pPr>
        <w:spacing w:after="180" w:line="320"/>
      </w:pPr>
      <w:r>
        <w:t xml:space="preserve">The floor protects across specific failure modes. Bankruptcy protection. Divorce protection. Inheritance disputes protection. Creditor claims protection. The floor operates as genuinely floor through specific structural mechanisms rather than as nominal floor that erodes under specific pressures. The legal infrastructure for floor protection requires deliberate design that maintains protection across the multi-generational horizon.</w:t>
      </w:r>
    </w:p>
    <w:p>
      <w:pPr>
        <w:pStyle w:val="Heading2"/>
        <w:spacing w:after="160" w:before="280"/>
      </w:pPr>
      <w:r>
        <w:t xml:space="preserve">Borrowing Against Balance</w:t>
      </w:r>
    </w:p>
    <w:p>
      <w:pPr>
        <w:spacing w:after="180" w:line="320"/>
      </w:pPr>
      <w:r>
        <w:t xml:space="preserve">Members may borrow against their equity balance up to specific limits while preserving the floor. The borrowing produces flexibility for family operational needs without forcing the family to liquidate equity that operates as long-term security.</w:t>
      </w:r>
    </w:p>
    <w:p>
      <w:pPr>
        <w:spacing w:after="180" w:line="320"/>
      </w:pPr>
      <w:r>
        <w:t xml:space="preserve">Borrowing supports specific purposes. Land acquisition for family operations. Business investment for family economic development. Education for family members. Healthcare costs beyond what cooperative coverage provides. Specific family circumstances that require capital deployment beyond regular member benefits. The borrowing produces capacity for substantial family economic development while maintaining the floor as foundational security.</w:t>
      </w:r>
    </w:p>
    <w:p>
      <w:pPr>
        <w:spacing w:after="180" w:line="320"/>
      </w:pPr>
      <w:r>
        <w:t xml:space="preserve">Borrowing limits operate through specific structural design. Specific percentage of balance that can be borrowed against. Specific dollar limits operating alongside percentage limits. Specific purpose restrictions limiting borrowing to specific approved purposes. Specific term restrictions establishing how long borrowed amounts can remain outstanding. The structure produces flexibility while protecting the architecture's broader capital infrastructure.</w:t>
      </w:r>
    </w:p>
    <w:p>
      <w:pPr>
        <w:spacing w:after="180" w:line="320"/>
      </w:pPr>
      <w:r>
        <w:t xml:space="preserve">The credit union operations integrate with the floor and borrowing mechanism cleanly. The credit union provides traditional financial services to members. Credit union operations include member borrowing against equity balances as specific lending category. The integration operates inside established credit union frameworks rather than requiring separate infrastructure.</w:t>
      </w:r>
    </w:p>
    <w:p>
      <w:pPr>
        <w:pStyle w:val="Heading2"/>
        <w:spacing w:after="160" w:before="280"/>
      </w:pPr>
      <w:r>
        <w:t xml:space="preserve">Equity Accumulation Above the Floor</w:t>
      </w:r>
    </w:p>
    <w:p>
      <w:pPr>
        <w:spacing w:after="180" w:line="320"/>
      </w:pPr>
      <w:r>
        <w:t xml:space="preserve">Members accumulate equity above the floor through participation in cooperative operations. Producer cooperative member family contribution measured through production volume sold through cooperative distribution. Worker progression contribution measured through hours worked, role advancement through stages, cooperative-specific skill development, and formation participation. Member family economic activity through cooperative operations measured through purchases at cooperative restaurants, daycares, athletic operations, healthcare access, and broader services. Professional staff contribution measured through service provided to cooperative operations and member families. Capital contribution measured through specific capital investments members make beyond required member equity contributions.</w:t>
      </w:r>
    </w:p>
    <w:p>
      <w:pPr>
        <w:spacing w:after="180" w:line="320"/>
      </w:pPr>
      <w:r>
        <w:t xml:space="preserve">Accumulating equity reflects participation across the comprehensive member institution. Members who participate substantially across multiple service categories accumulate substantial equity above the floor. Members who participate at smaller scale accumulate proportional equity. The accumulation operates as patronage dividend in the established Subchapter T cooperative tradition operating across the comprehensive member institution rather than across single-purpose cooperative operations.</w:t>
      </w:r>
    </w:p>
    <w:p>
      <w:pPr>
        <w:spacing w:after="180" w:line="320"/>
      </w:pPr>
      <w:r>
        <w:t xml:space="preserve">The covenant equity discipline operates through this architecture. The discipline prevents wealth concentration among narrow ownership. The floor establishes what each family receives as foundational. Accumulation above the floor reflects participation. The architecture's broader work raises floors broadly rather than producing concentrated wealth. The structural mechanism aligns with the broader purpose.</w:t>
      </w:r>
    </w:p>
    <w:p>
      <w:pPr>
        <w:pStyle w:val="Heading1"/>
        <w:pageBreakBefore/>
        <w:spacing w:after="240" w:before="240"/>
      </w:pPr>
      <w:r>
        <w:t xml:space="preserve">The Producer Cooperative Member Program</w:t>
      </w:r>
    </w:p>
    <w:p>
      <w:pPr>
        <w:spacing w:after="180" w:line="320"/>
      </w:pPr>
      <w:r>
        <w:t xml:space="preserve">The producer cooperative member program is the architecture's central mechanism for producer engagement. The program serves mid-scale and large family farms that produce the majority of regional agricultural value, deliberately bypassing the small farm hobby segment that does not produce meaningful agricultural substance.</w:t>
      </w:r>
    </w:p>
    <w:p>
      <w:pPr>
        <w:spacing w:after="180" w:line="320"/>
      </w:pPr>
      <w:r>
        <w:t xml:space="preserve">Each producer cooperative member family receives the package. Set monthly draws against production rather than year-end cash flow uncertainty. Comprehensive benefits including health insurance, retirement contributions, and disability coverage. Transition insurance up to one million dollars per operation that protects the family across catastrophic loss scenarios. Primary customer commitment from the cooperative providing market certainty for the family's production. The package replaces farm income vulnerability with farm income stability while maintaining the family's land ownership and operational autonomy.</w:t>
      </w:r>
    </w:p>
    <w:p>
      <w:pPr>
        <w:spacing w:after="180" w:line="320"/>
      </w:pPr>
      <w:r>
        <w:t xml:space="preserve">The producer cooperative member family commits specific elements. Majority of production sold through cooperative distribution. Specific operational alignment with cooperative quality standards and cooperative operational practices. Member equity contribution at scale supporting cooperative operations. Engagement with broader cooperative member institution including healthcare, banking, insurance, and other services where the family chooses to participate.</w:t>
      </w:r>
    </w:p>
    <w:p>
      <w:pPr>
        <w:spacing w:after="180" w:line="320"/>
      </w:pPr>
      <w:r>
        <w:t xml:space="preserve">The program scales from initial pilot cohort of three to five families during foundation period to substantial member base across decades. Foundation cell operational maturity produces approximately several hundred to one thousand producer cooperative member families across the four county service area. Subsequent regional cell deployment extends the program across the broader Appalachian region. Multi-generational deployment produces substantial regional producer cooperative member network.</w:t>
      </w:r>
    </w:p>
    <w:p>
      <w:pPr>
        <w:spacing w:after="180" w:line="320"/>
      </w:pPr>
      <w:r>
        <w:t xml:space="preserve">The strategic concentration on mid-scale and large family farms operates as deliberate choice. These farms produce majority of regional agricultural value. Corporate agriculture has systematically captured this segment through specific contractual structures that extract value from farming families while leaving them operationally vulnerable. The cooperative's package directly addresses what corporate contracts extract while providing substantially better operational outcomes for farming families.</w:t>
      </w:r>
    </w:p>
    <w:p>
      <w:pPr>
        <w:spacing w:after="180" w:line="320"/>
      </w:pPr>
      <w:r>
        <w:t xml:space="preserve">The fund mechanism advances working capital for monthly draws to producer cooperative members. The cooperative pays members from the advanced funds. As the cooperative collects revenue from member production sold through cooperative distribution, the cooperative repays the fund with two percent service charge on the cash flow. The mechanism eliminates separate working capital sourcing for the producer cooperative member program while operating at substantially lower cost basis than commercial agricultural lending alternatives.</w:t>
      </w:r>
    </w:p>
    <w:p>
      <w:pPr>
        <w:pStyle w:val="Heading1"/>
        <w:pageBreakBefore/>
        <w:spacing w:after="240" w:before="240"/>
      </w:pPr>
      <w:r>
        <w:t xml:space="preserve">Worker Progression Structure</w:t>
      </w:r>
    </w:p>
    <w:p>
      <w:pPr>
        <w:spacing w:after="180" w:line="320"/>
      </w:pPr>
      <w:r>
        <w:t xml:space="preserve">The worker progression structure provides a four-stage pathway from initial cooperative employment through eventual producer cooperative member ownership. The structure operates as workforce development infrastructure that creates pathways for regional families to enter and develop within agricultural and broader cooperative operations across generations.</w:t>
      </w:r>
    </w:p>
    <w:p>
      <w:pPr>
        <w:pStyle w:val="Heading3"/>
        <w:spacing w:after="120" w:before="240"/>
      </w:pPr>
      <w:r>
        <w:t xml:space="preserve">Stage One: Initial Employment</w:t>
      </w:r>
    </w:p>
    <w:p>
      <w:pPr>
        <w:spacing w:after="180" w:line="320"/>
      </w:pPr>
      <w:r>
        <w:t xml:space="preserve">Workers enter cooperative operations as employees with appropriate compensation, comprehensive benefits including healthcare and retirement contributions, and specific worker formation supporting development across the broader cooperative pattern. Initial employment operates inside specific cooperative operational categories including production operations, processing operations, distribution operations, retail operations, healthcare support, construction operations, and broader cooperative service operations.</w:t>
      </w:r>
    </w:p>
    <w:p>
      <w:pPr>
        <w:pStyle w:val="Heading3"/>
        <w:spacing w:after="120" w:before="240"/>
      </w:pPr>
      <w:r>
        <w:t xml:space="preserve">Stage Two: Apprenticeship</w:t>
      </w:r>
    </w:p>
    <w:p>
      <w:pPr>
        <w:spacing w:after="180" w:line="320"/>
      </w:pPr>
      <w:r>
        <w:t xml:space="preserve">Workers progress to apprenticeship that combines specific skill development with formation in cooperative pattern. Apprenticeship operates across multiple specialized tracks including agricultural production, food processing, construction trades, healthcare support, business operations, and broader cooperative skill categories. CTAE pipeline integration supports apprenticeship development at the level appropriate to specific career trajectories.</w:t>
      </w:r>
    </w:p>
    <w:p>
      <w:pPr>
        <w:pStyle w:val="Heading3"/>
        <w:spacing w:after="120" w:before="240"/>
      </w:pPr>
      <w:r>
        <w:t xml:space="preserve">Stage Three: Tenant Farming</w:t>
      </w:r>
    </w:p>
    <w:p>
      <w:pPr>
        <w:spacing w:after="180" w:line="320"/>
      </w:pPr>
      <w:r>
        <w:t xml:space="preserve">Workers may progress to tenant farming on architecture-held land with cooperative support including equipment access, operational guidance, market access through cooperative distribution, and capital support. Tenant farming operates as transition stage where workers develop operational capacity and capital position while preserving the safety net of cooperative employment. Successful tenant farming produces capacity for transition to producer cooperative member ownership.</w:t>
      </w:r>
    </w:p>
    <w:p>
      <w:pPr>
        <w:pStyle w:val="Heading3"/>
        <w:spacing w:after="120" w:before="240"/>
      </w:pPr>
      <w:r>
        <w:t xml:space="preserve">Stage Four: Producer Cooperative Member Ownership</w:t>
      </w:r>
    </w:p>
    <w:p>
      <w:pPr>
        <w:spacing w:after="180" w:line="320"/>
      </w:pPr>
      <w:r>
        <w:t xml:space="preserve">Workers may progress to producer cooperative member family status with their own land ownership and full participation in the producer cooperative member program. The progression operates across years with specific milestones supporting capital accumulation, operational capacity development, and land acquisition support. The architecture's broader land acquisition strategy includes specific land for transition to producer cooperative member ownership for workers progressing through the structure.</w:t>
      </w:r>
    </w:p>
    <w:p>
      <w:pPr>
        <w:spacing w:after="180" w:line="320"/>
      </w:pPr>
      <w:r>
        <w:t xml:space="preserve">Each stage operates with appropriate compensation, benefits, equity accumulation, and broader member institution participation. Workers across all four stages participate in the comprehensive member institution model. The progression provides genuine pathway for workers to develop substantial economic position across decades through sustained cooperative engagement.</w:t>
      </w:r>
    </w:p>
    <w:p>
      <w:pPr>
        <w:pStyle w:val="Heading1"/>
        <w:pageBreakBefore/>
        <w:spacing w:after="240" w:before="240"/>
      </w:pPr>
      <w:r>
        <w:t xml:space="preserve">Christian Business Cluster Through Participating Church Facilities</w:t>
      </w:r>
    </w:p>
    <w:p>
      <w:pPr>
        <w:spacing w:after="180" w:line="320"/>
      </w:pPr>
      <w:r>
        <w:t xml:space="preserve">The architecture deploys Christian businesses across participating church facilities through specific lease relationships. The model operates distributed business operations across many participating church facilities rather than concentrating operations in singular facilities for functions that benefit from distributed deployment.</w:t>
      </w:r>
    </w:p>
    <w:p>
      <w:pPr>
        <w:spacing w:after="180" w:line="320"/>
      </w:pPr>
      <w:r>
        <w:t xml:space="preserve">The cluster includes specific business categories. Restaurants and ghost kitchens with cafeteria-style dining producing community gathering space where people sit and eat together rather than transactional fast food consumption. Daycares operating inside Christian community standards with educational substance. Athletic coaching and sports training through FCA partnership and broader athletic operations. Homeschool cooperatives supporting Christian families pursuing homeschool education with broader institutional support. Music and arts education developing children's specific gifts. Tutoring providing academic support across grade levels. Counseling providing mental health and family support. Healthcare clinics with doctors, dentists, and other professionals rotating across multiple participating church facilities one day per week per location. Wedding venues operating inside specific Christian wedding tradition. Senior care providing dignified support for aging members and broader community. Each operation serves member families while operating inside broader regional community service.</w:t>
      </w:r>
    </w:p>
    <w:p>
      <w:pPr>
        <w:spacing w:after="180" w:line="320"/>
      </w:pPr>
      <w:r>
        <w:t xml:space="preserve">The cooperative staffs operations and leases facility space from participating churches. The cooperative pays rent to participating churches as ongoing income to the church. The cooperative captures operational margin from each business operation. Members benefit from substantially reduced cost relative to commercial alternatives while accessing services across denominational lines through the cooperative platform.</w:t>
      </w:r>
    </w:p>
    <w:p>
      <w:pPr>
        <w:spacing w:after="180" w:line="320"/>
      </w:pPr>
      <w:r>
        <w:t xml:space="preserve">Workers in the worker progression structure handle participating church facility care including nursery support, cleaning, lawn care, and broader operational maintenance. The arrangement provides participating churches with operational support beyond just lease income while providing workers with employment across the participating church network.</w:t>
      </w:r>
    </w:p>
    <w:p>
      <w:pPr>
        <w:spacing w:after="180" w:line="320"/>
      </w:pPr>
      <w:r>
        <w:t xml:space="preserve">Specific licensing and credentialing supports specific operations. Educational credentials support daycare and homeschool cooperative operations. FCA partnership supports athletic coaching infrastructure. Professional credentialing supports healthcare operations. Each operation operates inside appropriate regulatory framework while accessing the broader cooperative infrastructure that makes operations economically viable at distributed scale.</w:t>
      </w:r>
    </w:p>
    <w:p>
      <w:pPr>
        <w:spacing w:after="180" w:line="320"/>
      </w:pPr>
      <w:r>
        <w:t xml:space="preserve">The distributed deployment produces broad regional reach without requiring substantial concentrated facility investment. Many participating churches across the regional service area each host specific cooperative operations. Member families access services at the participating church closest to their location. The cumulative effect produces comprehensive regional coverage through distributed deployment.</w:t>
      </w:r>
    </w:p>
    <w:p>
      <w:pPr>
        <w:spacing w:after="180" w:line="320"/>
      </w:pPr>
      <w:r>
        <w:t xml:space="preserve">Specific concentrated facilities support functions requiring concentration. Commercial food production at scale. Retail at scale serving regional markets beyond just member families. Regional headquarters supporting broader cooperative operations. The four material verticals through Tom's integrated build partnership. Vertical operations through Tom's broader operational substance. These functions operate at concentrated facilities while distributed functions operate through participating church facilities.</w:t>
      </w:r>
    </w:p>
    <w:p>
      <w:pPr>
        <w:pStyle w:val="Heading1"/>
        <w:pageBreakBefore/>
        <w:spacing w:after="240" w:before="240"/>
      </w:pPr>
      <w:r>
        <w:t xml:space="preserve">Four Material Verticals and Manufacturing Recovery</w:t>
      </w:r>
    </w:p>
    <w:p>
      <w:pPr>
        <w:spacing w:after="180" w:line="320"/>
      </w:pPr>
      <w:r>
        <w:t xml:space="preserve">The integrated build partnership through Tom Wilkinson provides four material verticals operating at cost basis pricing for cooperative construction and at commercial pricing for broader regional construction markets.</w:t>
      </w:r>
    </w:p>
    <w:p>
      <w:pPr>
        <w:pStyle w:val="Heading3"/>
        <w:spacing w:after="120" w:before="240"/>
      </w:pPr>
      <w:r>
        <w:t xml:space="preserve">Stone</w:t>
      </w:r>
    </w:p>
    <w:p>
      <w:pPr>
        <w:spacing w:after="180" w:line="320"/>
      </w:pPr>
      <w:r>
        <w:t xml:space="preserve">Stone operations through Tom's existing Sand Mountain quarry operations. Stone supplies cooperative construction including barn depots, member housing, healthcare facilities, and broader cooperative infrastructure. Stone supplies regional construction beyond cooperative through commercial sales producing operational margin that supports broader vertical operations.</w:t>
      </w:r>
    </w:p>
    <w:p>
      <w:pPr>
        <w:pStyle w:val="Heading3"/>
        <w:spacing w:after="120" w:before="240"/>
      </w:pPr>
      <w:r>
        <w:t xml:space="preserve">Aggregate</w:t>
      </w:r>
    </w:p>
    <w:p>
      <w:pPr>
        <w:spacing w:after="180" w:line="320"/>
      </w:pPr>
      <w:r>
        <w:t xml:space="preserve">Aggregate operations through Tom's existing aggregate operations at Sand Mountain quarry. Aggregate supplies cooperative construction including roads, foundations, and infrastructure. Aggregate supplies regional construction through commercial sales producing operational margin.</w:t>
      </w:r>
    </w:p>
    <w:p>
      <w:pPr>
        <w:pStyle w:val="Heading3"/>
        <w:spacing w:after="120" w:before="240"/>
      </w:pPr>
      <w:r>
        <w:t xml:space="preserve">Concrete</w:t>
      </w:r>
    </w:p>
    <w:p>
      <w:pPr>
        <w:spacing w:after="180" w:line="320"/>
      </w:pPr>
      <w:r>
        <w:t xml:space="preserve">Concrete operations through Tom's existing concrete production. Concrete supplies cooperative construction including structural construction across cooperative facility categories. Concrete supplies regional construction through commercial sales producing operational margin.</w:t>
      </w:r>
    </w:p>
    <w:p>
      <w:pPr>
        <w:pStyle w:val="Heading3"/>
        <w:spacing w:after="120" w:before="240"/>
      </w:pPr>
      <w:r>
        <w:t xml:space="preserve">Timber</w:t>
      </w:r>
    </w:p>
    <w:p>
      <w:pPr>
        <w:spacing w:after="180" w:line="320"/>
      </w:pPr>
      <w:r>
        <w:t xml:space="preserve">Timber operations through cooperative-supported regional timber harvest and processing. Timber supplies cooperative construction including framing, finish materials, and broader timber-based construction. Timber operates inside Pullen's forest business operations and broader regional timber control. Timber supplies regional construction through commercial sales producing operational margin.</w:t>
      </w:r>
    </w:p>
    <w:p>
      <w:pPr>
        <w:pStyle w:val="Heading2"/>
        <w:spacing w:after="160" w:before="280"/>
      </w:pPr>
      <w:r>
        <w:t xml:space="preserve">Manufacturing Recovery</w:t>
      </w:r>
    </w:p>
    <w:p>
      <w:pPr>
        <w:spacing w:after="180" w:line="320"/>
      </w:pPr>
      <w:r>
        <w:t xml:space="preserve">The architecture pursues manufacturing recovery beyond the four material verticals. Build the best you can build philosophy governs manufacturing approach. Generational construction producing buildings that operate across generations rather than buildings designed for obsolescence. Generational manufacturing producing goods that operate across decades rather than goods designed for replacement.</w:t>
      </w:r>
    </w:p>
    <w:p>
      <w:pPr>
        <w:spacing w:after="180" w:line="320"/>
      </w:pPr>
      <w:r>
        <w:t xml:space="preserve">The textile vertical operates from cotton field to finished products. Cotton sourced from Alabama connects to Sand Mountain family heritage. Mount Vernon Mills with Trion plant in Chattooga County operates as eventual acquisition target where vertical integration cotton field to finished jeans recovers substantial regional industrial substance. Mount Vernon historically operated integrated regional industry across multiple stages. Recovery returns to integrated regional industry pattern.</w:t>
      </w:r>
    </w:p>
    <w:p>
      <w:pPr>
        <w:spacing w:after="180" w:line="320"/>
      </w:pPr>
      <w:r>
        <w:t xml:space="preserve">The broader manufacturing recovery extends to specific industries where regional capacity has been destroyed through globalization patterns. Furniture manufacturing. Specific tool manufacturing. Specific consumer goods manufacturing. Each sector operates inside the broader architectural commitment to regional industrial substance producing goods at quality that justifies the architecture's broader purpose. The acquisitions occur across decades as the architecture's capital base grows and as specific opportunities emerge.</w:t>
      </w:r>
    </w:p>
    <w:p>
      <w:pPr>
        <w:pStyle w:val="Heading1"/>
        <w:pageBreakBefore/>
        <w:spacing w:after="240" w:before="240"/>
      </w:pPr>
      <w:r>
        <w:t xml:space="preserve">Healthcare Infrastructure</w:t>
      </w:r>
    </w:p>
    <w:p>
      <w:pPr>
        <w:spacing w:after="180" w:line="320"/>
      </w:pPr>
      <w:r>
        <w:t xml:space="preserve">The architecture operates comprehensive healthcare infrastructure as integral element of comprehensive member institution model rather than as separate transactional service. Healthcare access at cooperative scale produces substantially better outcomes for member families than commercial alternatives produce.</w:t>
      </w:r>
    </w:p>
    <w:p>
      <w:pPr>
        <w:spacing w:after="180" w:line="320"/>
      </w:pPr>
      <w:r>
        <w:t xml:space="preserve">Healthcare access points operate at participating church facilities through rotating professional schedules. Doctors, dentists, and other healthcare professionals rotate across multiple participating church facilities providing one day per week service at each location. The rotation produces regional healthcare coverage through distributed deployment without requiring substantial concentrated healthcare facility investment at every location.</w:t>
      </w:r>
    </w:p>
    <w:p>
      <w:pPr>
        <w:spacing w:after="180" w:line="320"/>
      </w:pPr>
      <w:r>
        <w:t xml:space="preserve">Specific concentrated healthcare facilities support functions requiring concentration. Specific surgical services. Specific specialty care. Hospital partnerships supporting acute care needs. The Hutcheson Hospital site redevelopment in Catoosa County operates as potential anchor site for substantial concentrated healthcare facility serving the broader regional service area.</w:t>
      </w:r>
    </w:p>
    <w:p>
      <w:pPr>
        <w:spacing w:after="180" w:line="320"/>
      </w:pPr>
      <w:r>
        <w:t xml:space="preserve">Healthcare workforce development operates through specific training programs. Medical professional training through partnerships with regional medical schools. Allied health training through partnerships with regional community colleges and Georgia Northwestern Technical College specifically. Workforce development supports both cooperative healthcare operations and broader regional healthcare workforce capacity.</w:t>
      </w:r>
    </w:p>
    <w:p>
      <w:pPr>
        <w:spacing w:after="180" w:line="320"/>
      </w:pPr>
      <w:r>
        <w:t xml:space="preserve">Self-insurance for member family healthcare operates as central element of healthcare infrastructure. Self-insurance captures both insurance margin and healthcare delivery savings that flow to floor raising rather than to commercial insurance company extraction. Healthcare access through cooperative facilities operates inside self-insurance framework producing substantially lower cost healthcare delivery than commercial healthcare delivery produces.</w:t>
      </w:r>
    </w:p>
    <w:p>
      <w:pPr>
        <w:spacing w:after="180" w:line="320"/>
      </w:pPr>
      <w:r>
        <w:t xml:space="preserve">The healthcare infrastructure addresses specific regional health crises that have affected Appalachian population across generations. Substance abuse treatment. Mental health services. Maternal and child health. Chronic disease management. Each addresses real regional health need at scale beyond what current commercial healthcare delivery provides.</w:t>
      </w:r>
    </w:p>
    <w:p>
      <w:pPr>
        <w:pStyle w:val="Heading1"/>
        <w:pageBreakBefore/>
        <w:spacing w:after="240" w:before="240"/>
      </w:pPr>
      <w:r>
        <w:t xml:space="preserve">Capital Infrastructure</w:t>
      </w:r>
    </w:p>
    <w:p>
      <w:pPr>
        <w:spacing w:after="180" w:line="320"/>
      </w:pPr>
      <w:r>
        <w:t xml:space="preserve">The architecture operates multiple capital mechanisms that aggregate substantial capital base supporting deployment, operations, and continued architectural development. The mechanisms operate inside specific legitimate frameworks designed to fit compliant operations from initial structural design rather than retrofit after operations begin.</w:t>
      </w:r>
    </w:p>
    <w:p>
      <w:pPr>
        <w:pStyle w:val="Heading2"/>
        <w:spacing w:after="160" w:before="280"/>
      </w:pPr>
      <w:r>
        <w:t xml:space="preserve">The Fund Mechanism</w:t>
      </w:r>
    </w:p>
    <w:p>
      <w:pPr>
        <w:spacing w:after="180" w:line="320"/>
      </w:pPr>
      <w:r>
        <w:t xml:space="preserve">The Northwest Georgia Joint Development Authority Revolving Loan Fund operates as central capital infrastructure for the architecture's foundation cell. Counties pool idle cash into professionally managed Treasury investment portfolio designed by Regions Bank. Counties retain ownership and earn investment income while not underwriting individual projects directly.</w:t>
      </w:r>
    </w:p>
    <w:p>
      <w:pPr>
        <w:spacing w:after="180" w:line="320"/>
      </w:pPr>
      <w:r>
        <w:t xml:space="preserve">The Designated Account Control Agreement structure operates with counties as beneficial owners, custodian holding the account, and the JDA as secured control party only upon defined trigger events. The JDA issues loans to development projects funded from loan repayments, bond proceeds, and other JDA capital. The structure complies with Georgia gratuities clause, Intergovernmental Contracts Clause Ga. Const. Art. IX Sec. III, Development Authorities Law O.C.G.A. Title 36 Ch. 62, Public Funds Compliance, and DCA reporting requirements.</w:t>
      </w:r>
    </w:p>
    <w:p>
      <w:pPr>
        <w:spacing w:after="180" w:line="320"/>
      </w:pPr>
      <w:r>
        <w:t xml:space="preserve">Foundation cell capitalization targets twenty million dollars across the four counties. Catoosa contributes seven million dollars from Hutcheson Hospital sale proceeds. Walker contributes seven million dollars through direct ask. Dade contributes three million dollars through Bank of Dade. Chattooga contributes three million dollars through SouthEast Bank. Catoosa and Walker custody operates through Regions per the designed plan. Dade and Chattooga custody operates through respective community banks. Differential contributions reflect actual county capacity. The principle governs that counties contributing to the fund receive the benefit while counties not contributing do not.</w:t>
      </w:r>
    </w:p>
    <w:p>
      <w:pPr>
        <w:spacing w:after="180" w:line="320"/>
      </w:pPr>
      <w:r>
        <w:t xml:space="preserve">The fund advances working capital for the producer cooperative member program with two percent service charge on cash flow. The fund supports broader regional development beyond the cooperative initiative including manufacturing recruitment, workforce housing development, infrastructure investment, and the broader regional economic development that the JDA exists to advance. The cooperative initiative operates as one substantial use of the fund among multiple regional development uses.</w:t>
      </w:r>
    </w:p>
    <w:p>
      <w:pPr>
        <w:spacing w:after="180" w:line="320"/>
      </w:pPr>
      <w:r>
        <w:t xml:space="preserve">Fund expansion across the broader Appalachian region operates as cells deploy across multiple states. Each regional fund operates inside specific state legal framework while sharing the broader pattern. Aggregate regional capital base across multi-state fund network supports regional resource control acquisitions across decades.</w:t>
      </w:r>
    </w:p>
    <w:p>
      <w:pPr>
        <w:pStyle w:val="Heading2"/>
        <w:spacing w:after="160" w:before="280"/>
      </w:pPr>
      <w:r>
        <w:t xml:space="preserve">Token as Internal Ledger with External Value</w:t>
      </w:r>
    </w:p>
    <w:p>
      <w:pPr>
        <w:spacing w:after="180" w:line="320"/>
      </w:pPr>
      <w:r>
        <w:t xml:space="preserve">The cooperative operates a token as internal ledger infrastructure for cooperative member equity tracking. Member equity accounts. Patronage tracking. Worker progression equity. Producer cooperative member contributions. Cross-service aggregation. Comprehensive member institution participation. The accounting operates through digital ledger rather than through traditional accounting infrastructure. The token is cooperative member equity expressed through blockchain technology rather than through paper certificates or traditional database records.</w:t>
      </w:r>
    </w:p>
    <w:p>
      <w:pPr>
        <w:spacing w:after="180" w:line="320"/>
      </w:pPr>
      <w:r>
        <w:t xml:space="preserve">The token has external market value because the cooperative has substantial operational substance. Land holdings. Producer cooperative member operations. Christian business cluster operations. Healthcare infrastructure. Self-insurance reserves. Credit union operations. Manufacturing operations. Real estate. Resource control across the broader region as the architecture deploys. The substance backs the token. External market participants assess the substance and assign value accordingly. Market value emerges from cooperative substance rather than from promotion.</w:t>
      </w:r>
    </w:p>
    <w:p>
      <w:pPr>
        <w:spacing w:after="180" w:line="320"/>
      </w:pPr>
      <w:r>
        <w:t xml:space="preserve">The cooperative sells token from treasury strategically when capital deployment opportunities require it. Land acquisition for resource control. Acquisition of substantial industrial operations like Mount Vernon. Specific strategic capital deployment that conventional capital sources would deploy at slower pace. The strategic sales convert market valuation of cooperative substance into actual capital that flows to substantial regional acquisition. Acquisitions strengthen cooperative substance. Strengthened substance increases token value. The mechanism operates as compounding cycle that supports regional resource control across decades.</w:t>
      </w:r>
    </w:p>
    <w:p>
      <w:pPr>
        <w:spacing w:after="180" w:line="320"/>
      </w:pPr>
      <w:r>
        <w:t xml:space="preserve">The token operates inside specific legal framework requiring specialized counsel for design and ongoing compliance. The structure must operate compliantly inside applicable securities frameworks, money transmission frameworks, anti-money laundering and Know Your Customer frameworks, tax frameworks, and broader regulatory frameworks. The wise as serpents and harmless as doves discipline applies. Strategic sophistication about token mechanism operations combined with operational integrity through token operating as genuine cooperative member equity infrastructure with genuine cooperative substance backing it rather than as speculative pumping mechanism without underlying substance.</w:t>
      </w:r>
    </w:p>
    <w:p>
      <w:pPr>
        <w:pStyle w:val="Heading2"/>
        <w:spacing w:after="160" w:before="280"/>
      </w:pPr>
      <w:r>
        <w:t xml:space="preserve">COLI Funeral Benefit</w:t>
      </w:r>
    </w:p>
    <w:p>
      <w:pPr>
        <w:spacing w:after="180" w:line="320"/>
      </w:pPr>
      <w:r>
        <w:t xml:space="preserve">The cooperative operates whole life insurance policies on member lives with the cooperative as beneficiary. The cooperative pays premiums during member lives. At each member's eventual passing, the death benefit flows to the cooperative. The cooperative pays one hundred thousand dollars to the member's family supporting funeral costs and broader family needs at the moment of loss. The cooperative retains the remainder supporting continued cooperative operations.</w:t>
      </w:r>
    </w:p>
    <w:p>
      <w:pPr>
        <w:spacing w:after="180" w:line="320"/>
      </w:pPr>
      <w:r>
        <w:t xml:space="preserve">The structure provides substantial member benefit. Members receive whole life insurance as cooperative member benefit during their life. The cooperative pays premiums rather than members paying premiums from their own income. The premium payments operate as direct value transfer to members during their lives. At each member's passing, the family receives meaningful benefit at the moment of greatest financial difficulty. The benefit covers funeral costs typically running ten to fifteen thousand dollars while leaving substantial margin supporting broader family needs.</w:t>
      </w:r>
    </w:p>
    <w:p>
      <w:pPr>
        <w:spacing w:after="180" w:line="320"/>
      </w:pPr>
      <w:r>
        <w:t xml:space="preserve">The structure provides substantial cooperative capital flow. Across substantial member base over decades, the aggregate capital flow becomes very meaningful supporting continued cooperative deployment, replication into subsequent regions, and broader architectural development. The capital infrastructure operates with multi-generational horizon matching the architecture's broader timeframe.</w:t>
      </w:r>
    </w:p>
    <w:p>
      <w:pPr>
        <w:spacing w:after="180" w:line="320"/>
      </w:pPr>
      <w:r>
        <w:t xml:space="preserve">The structure operates inside substantial legal complexity requiring specialized counsel for compliant design. The Pension Protection Act of 2006 imposes substantial federal restrictions on corporate-owned life insurance arrangements requiring specific notice and consent procedures, specific limitations on insured population, and specific reporting requirements. State insurable interest requirements operate inside specific state law. State insurance regulation operates inside specific frameworks. Federal tax treatment depends on compliance with specific safe harbor frameworks. ERISA implications may operate. Anti-money laundering frameworks apply. The architecture builds the structure to fit compliant frameworks from initial design rather than designing the structure first and trying to fit compliant frameworks afterward.</w:t>
      </w:r>
    </w:p>
    <w:p>
      <w:pPr>
        <w:spacing w:after="180" w:line="320"/>
      </w:pPr>
      <w:r>
        <w:t xml:space="preserve">The structure operates inside specific Christian tradition. Christian community has historically taken responsibility for member burial and end-of-life care across centuries. Religious orders have operated specific financial structures supporting member care across decades. Christian fraternal benefit societies have operated similar structures across centuries. The architecture's structure operates inside this tradition rather than as innovation.</w:t>
      </w:r>
    </w:p>
    <w:p>
      <w:pPr>
        <w:pStyle w:val="Heading2"/>
        <w:spacing w:after="160" w:before="280"/>
      </w:pPr>
      <w:r>
        <w:t xml:space="preserve">Self-Insurance</w:t>
      </w:r>
    </w:p>
    <w:p>
      <w:pPr>
        <w:spacing w:after="180" w:line="320"/>
      </w:pPr>
      <w:r>
        <w:t xml:space="preserve">The cooperative operates self-insurance for substantial insurance categories including health, property and casualty, crop, transition, auto, life, disability, and workers compensation. Self-insurance pools member premiums, manages risk across the substantial member base, and pays claims directly rather than through commercial insurance intermediaries.</w:t>
      </w:r>
    </w:p>
    <w:p>
      <w:pPr>
        <w:spacing w:after="180" w:line="320"/>
      </w:pPr>
      <w:r>
        <w:t xml:space="preserve">Self-insurance operates structurally for specific reasons. The architecture has substantial population scale supporting actuarial pooling. The architecture has substantial knowledge of member operations supporting accurate risk pricing. The architecture removes commercial insurance margin from the cost stack capturing margin for member benefit rather than for commercial insurance shareholder benefit. The architecture coordinates insurance with other services reducing overall claim cost through coordinated operations.</w:t>
      </w:r>
    </w:p>
    <w:p>
      <w:pPr>
        <w:spacing w:after="180" w:line="320"/>
      </w:pPr>
      <w:r>
        <w:t xml:space="preserve">Initial reserves operate at substantial scale supporting state insurance regulation requirements. Reserve growth across decades through accumulated premium contributions builds substantial capital base supporting both insurance operations and broader cooperative capital infrastructure. Self-insurance regulatory structure varies by state and by insurance line. Some operates through captive insurance companies. Some operates through risk retention groups. Some operates through health benefit plans under ERISA. Some operates through agricultural cooperative insurance provisions. The architecture works with specialized insurance counsel establishing appropriate regulatory structure for each insurance line.</w:t>
      </w:r>
    </w:p>
    <w:p>
      <w:pPr>
        <w:pStyle w:val="Heading2"/>
        <w:spacing w:after="160" w:before="280"/>
      </w:pPr>
      <w:r>
        <w:t xml:space="preserve">Credit Union</w:t>
      </w:r>
    </w:p>
    <w:p>
      <w:pPr>
        <w:spacing w:after="180" w:line="320"/>
      </w:pPr>
      <w:r>
        <w:t xml:space="preserve">The cooperative operates a credit union providing banking services to member families. Deposit accounts, lending including mortgages and operating lines of credit, payment services, and broader financial services that families need.</w:t>
      </w:r>
    </w:p>
    <w:p>
      <w:pPr>
        <w:spacing w:after="180" w:line="320"/>
      </w:pPr>
      <w:r>
        <w:t xml:space="preserve">Credit union operations align structurally with the cooperative's broader pattern. Credit unions are member-owned financial cooperatives that align with the architecture's covenant relationship structure. Credit unions operate with specific regulatory advantages including lower regulatory capital requirements compared to commercial banks, tax exemption on credit union earnings, and access to NCUA regulatory framework supporting cooperative financial services.</w:t>
      </w:r>
    </w:p>
    <w:p>
      <w:pPr>
        <w:spacing w:after="180" w:line="320"/>
      </w:pPr>
      <w:r>
        <w:t xml:space="preserve">The architecture's substantial deposit base from member families and from cooperative operations provides funding for the credit union's lending operations. Member family deposits earn appropriate interest while funding lending that supports member family operations, member family construction, member operation expansion, and broader architectural capital needs.</w:t>
      </w:r>
    </w:p>
    <w:p>
      <w:pPr>
        <w:spacing w:after="180" w:line="320"/>
      </w:pPr>
      <w:r>
        <w:t xml:space="preserve">Initial capitalization operates at scale supporting credit union regulatory requirements. The credit union charter develops over twelve to twenty-four months from initial application. Operations launch with member deposit gathering and initial lending. The credit union grows alongside the broader architecture across decades.</w:t>
      </w:r>
    </w:p>
    <w:p>
      <w:pPr>
        <w:pStyle w:val="Heading2"/>
        <w:spacing w:after="160" w:before="280"/>
      </w:pPr>
      <w:r>
        <w:t xml:space="preserve">Patronage Dividend Distribution</w:t>
      </w:r>
    </w:p>
    <w:p>
      <w:pPr>
        <w:spacing w:after="180" w:line="320"/>
      </w:pPr>
      <w:r>
        <w:t xml:space="preserve">The cooperative distributes operating surplus to member equity accounts in proportion to member contribution. The distribution operates inside Subchapter T cooperative tax framework supporting tax-advantaged member equity accumulation across decades.</w:t>
      </w:r>
    </w:p>
    <w:p>
      <w:pPr>
        <w:spacing w:after="180" w:line="320"/>
      </w:pPr>
      <w:r>
        <w:t xml:space="preserve">Specific allocation across operating surplus operates through deliberate design. Some portion supports ongoing operations and reinvestment. Some portion flows to the network expansion fund through the tithe mechanism. Some portion flows as patronage dividends to member equity accounts. Some portion flows as ongoing dividend retention to the founder family trust. The allocation framework operates as constitutive structural commitment requiring deliberate articulation in cooperative governance documents.</w:t>
      </w:r>
    </w:p>
    <w:p>
      <w:pPr>
        <w:spacing w:after="180" w:line="320"/>
      </w:pPr>
      <w:r>
        <w:t xml:space="preserve">Patronage dividend distribution to member equity accounts operates as the central mechanism for floor raising at the individual family level. As the architecture's substance grows across decades, the patronage dividend distributions grow proportionally. The floor rises through this mechanism alongside the broader floor adjustment mechanism that operates structurally.</w:t>
      </w:r>
    </w:p>
    <w:p>
      <w:pPr>
        <w:pStyle w:val="Heading1"/>
        <w:pageBreakBefore/>
        <w:spacing w:after="240" w:before="240"/>
      </w:pPr>
      <w:r>
        <w:t xml:space="preserve">The Tithe Mechanism for Network Expansion</w:t>
      </w:r>
    </w:p>
    <w:p>
      <w:pPr>
        <w:spacing w:after="180" w:line="320"/>
      </w:pPr>
      <w:r>
        <w:t xml:space="preserve">Each cooperative cell tithes ten percent of top line revenue to the network expansion fund. The tithe operates as covenant contribution to the broader network rather than as financial investment with returns. The tithe funds new node deployment as accumulated tithe supports each subsequent cell launch.</w:t>
      </w:r>
    </w:p>
    <w:p>
      <w:pPr>
        <w:spacing w:after="180" w:line="320"/>
      </w:pPr>
      <w:r>
        <w:t xml:space="preserve">The biblical pattern is direct. Ten percent set aside for the work. The first ten percent. Off the top. Before other obligations. The tithe belongs to the work itself rather than to the giver. The giver participates in the work through the giving but does not retain claim on the giving. Genesis 14: Abram gave Melchizedek a tenth of all. Leviticus 27: the tithe of the land is the LORD's. The tithe is on the produce, not on the producer's net position after operations.</w:t>
      </w:r>
    </w:p>
    <w:p>
      <w:pPr>
        <w:spacing w:after="180" w:line="320"/>
      </w:pPr>
      <w:r>
        <w:t xml:space="preserve">Top line discipline forces the cell to operate within the ninety percent that remains. The cell cannot grow expenses to consume what would otherwise be tithe. The tithe comes off the top before operational decisions are made. The discipline operates structurally rather than as residual after operational priorities are set.</w:t>
      </w:r>
    </w:p>
    <w:p>
      <w:pPr>
        <w:spacing w:after="180" w:line="320"/>
      </w:pPr>
      <w:r>
        <w:t xml:space="preserve">Cells that contribute do not receive financial repayment from the network. The contribution operates as covenant participation rather than as financial transaction. New cells receive seed capital from the network expansion fund because they are part of the network. They contribute their own tithe once they generate top line revenue. The mechanism operates as continuous tithe pattern across the network rather than as capital cycle with returns.</w:t>
      </w:r>
    </w:p>
    <w:p>
      <w:pPr>
        <w:spacing w:after="180" w:line="320"/>
      </w:pPr>
      <w:r>
        <w:t xml:space="preserve">The expansion happens when accumulated tithe can fund a new node. The first new node launches when foundation cell tithe accumulates enough to fund the next cell's seed capital. The new cell operates from that seed capital plus local capital ecosystem deployment. The new cell contributes its own tithe once mature. The tithe pattern compounds across the network producing exponential growth bounded by the network's actual capacity to generate surplus and contribute tithe rather than by aspirational expansion timelines.</w:t>
      </w:r>
    </w:p>
    <w:p>
      <w:pPr>
        <w:spacing w:after="180" w:line="320"/>
      </w:pPr>
      <w:r>
        <w:t xml:space="preserve">The mechanism aligns expansion timing to actual financial capacity rather than to calendar timing or operational milestones. The architecture cannot expand faster than its surplus generation supports. The architecture also does not need to wait longer than its surplus generation requires. The mechanism naturally regulates expansion rhythm across the multi-generational horizon.</w:t>
      </w:r>
    </w:p>
    <w:p>
      <w:pPr>
        <w:pStyle w:val="Heading1"/>
        <w:pageBreakBefore/>
        <w:spacing w:after="240" w:before="240"/>
      </w:pPr>
      <w:r>
        <w:t xml:space="preserve">Platform Replication Architecture</w:t>
      </w:r>
    </w:p>
    <w:p>
      <w:pPr>
        <w:spacing w:after="180" w:line="320"/>
      </w:pPr>
      <w:r>
        <w:t xml:space="preserve">The foundation cell operates as prototype for broader regional and eventual international replication. Subsequent cells use any part or all of the platform pattern. Innovate. Succeed or fail on their own terms. The architecture wants information from their experience to develop the platform across decades.</w:t>
      </w:r>
    </w:p>
    <w:p>
      <w:pPr>
        <w:spacing w:after="180" w:line="320"/>
      </w:pPr>
      <w:r>
        <w:t xml:space="preserve">The architecture operates more open than Android platform model and closer to open source software development. Subsequent regions are not subsidiaries operating under foundation cell control. Subsequent regions are autonomous cells operating inside platform commitments while developing locally appropriate operational substance.</w:t>
      </w:r>
    </w:p>
    <w:p>
      <w:pPr>
        <w:pStyle w:val="Heading2"/>
        <w:spacing w:after="160" w:before="280"/>
      </w:pPr>
      <w:r>
        <w:t xml:space="preserve">Two Paths for Platform Spread</w:t>
      </w:r>
    </w:p>
    <w:p>
      <w:pPr>
        <w:spacing w:after="180" w:line="320"/>
      </w:pPr>
      <w:r>
        <w:t xml:space="preserve">Subsequent regions follow either of two paths.</w:t>
      </w:r>
    </w:p>
    <w:p>
      <w:pPr>
        <w:spacing w:after="180" w:line="320"/>
      </w:pPr>
      <w:r>
        <w:t xml:space="preserve">The first path is independent build. Regional leadership in adjacent regions builds their own cooperative cell from the ground up using the platform pattern. They access foundation cell pattern documentation, learn from foundation cell operational experience, and develop their own operational substance with their own leadership, their own institutional fabric, their own capital sources, and their own implementation choices. The cell operates inside platform commitments while operating independently.</w:t>
      </w:r>
    </w:p>
    <w:p>
      <w:pPr>
        <w:spacing w:after="180" w:line="320"/>
      </w:pPr>
      <w:r>
        <w:t xml:space="preserve">The second path is outsourcing customer relationship. Regional leadership in adjacent regions becomes customer of foundation cell for outsourcing services. Foundation cell provides operational services that subsequent regions cannot easily develop independently. Specific operational services supporting cooperative deployment in customer regions. The foundation cell earns revenue from outsourcing services. The customer regions access foundation cell expertise without independent development requirement.</w:t>
      </w:r>
    </w:p>
    <w:p>
      <w:pPr>
        <w:spacing w:after="180" w:line="320"/>
      </w:pPr>
      <w:r>
        <w:t xml:space="preserve">The two paths produce different specific deployment dynamics but both extend the platform's substantive purpose to broader regions. Independent build produces fully autonomous cells. Outsourcing customer relationship produces operational coordination with foundation cell while customer regions operate inside their own institutional fabric.</w:t>
      </w:r>
    </w:p>
    <w:p>
      <w:pPr>
        <w:pStyle w:val="Heading2"/>
        <w:spacing w:after="160" w:before="280"/>
      </w:pPr>
      <w:r>
        <w:t xml:space="preserve">The Global Replication Playbook</w:t>
      </w:r>
    </w:p>
    <w:p>
      <w:pPr>
        <w:spacing w:after="180" w:line="320"/>
      </w:pPr>
      <w:r>
        <w:t xml:space="preserve">The foundation cell develops the Global Replication Playbook as primary deliverable for the broader architecture. The playbook captures the pattern at the level supporting faithful replication across regions while preserving each cell's operational autonomy.</w:t>
      </w:r>
    </w:p>
    <w:p>
      <w:pPr>
        <w:spacing w:after="180" w:line="320"/>
      </w:pPr>
      <w:r>
        <w:t xml:space="preserve">Playbook development operates from foundation cell experience rather than from theoretical specification. What works in foundation cell operations gets documented as working pattern. What does not work gets documented as failure mode to avoid. Subsequent cells benefit from foundation cell experience while developing their own operational substance.</w:t>
      </w:r>
    </w:p>
    <w:p>
      <w:pPr>
        <w:spacing w:after="180" w:line="320"/>
      </w:pPr>
      <w:r>
        <w:t xml:space="preserve">Specific elements the playbook captures. Legal infrastructure templates supporting cooperative formation, producer cooperative member contracts, mission framework agreements, capital infrastructure documentation, and broader legal foundation. Operational pattern documentation supporting cooperative operations, comprehensive member institution model deployment, and broader operational substance. Capital strategy documentation supporting fund mechanism deployment, token mechanism deployment, COLI structure deployment, self-insurance deployment, credit union deployment, and broader capital infrastructure. Institutional engagement strategy documentation supporting JDA-equivalent partnerships, regional institutional engagement, and broader institutional fabric development. Cultural and theological foundation documentation supporting mission framework engagement, cross-denominational connective infrastructure operation, and broader cultural substance.</w:t>
      </w:r>
    </w:p>
    <w:p>
      <w:pPr>
        <w:spacing w:after="180" w:line="320"/>
      </w:pPr>
      <w:r>
        <w:t xml:space="preserve">Playbook continues developing across decades as foundation cell experience extends and as subsequent cell experience contributes additional substance. The playbook is living document rather than static specification.</w:t>
      </w:r>
    </w:p>
    <w:p>
      <w:pPr>
        <w:pStyle w:val="Heading2"/>
        <w:spacing w:after="160" w:before="280"/>
      </w:pPr>
      <w:r>
        <w:t xml:space="preserve">Initial Seeding Targets</w:t>
      </w:r>
    </w:p>
    <w:p>
      <w:pPr>
        <w:spacing w:after="180" w:line="320"/>
      </w:pPr>
      <w:r>
        <w:t xml:space="preserve">Four initial seeding targets operate after foundation cell maturity. North Alabama including Sand Mountain region with specific connection to founder family heritage and to integrated build partnership through Tom. North Georgia beyond foundation cell service area extending platform across the broader north Georgia regional fabric. Chattanooga as substantial regional metropolitan area with specific position in southern Appalachian regional economy. Dalton as substantial regional center with specific industrial substance including carpet industry connections.</w:t>
      </w:r>
    </w:p>
    <w:p>
      <w:pPr>
        <w:spacing w:after="180" w:line="320"/>
      </w:pPr>
      <w:r>
        <w:t xml:space="preserve">Each initial seeding target operates inside specific regional context with specific institutional fabric, specific capital sources, specific operational opportunities, and specific challenges. Foundation cell tithe supports initial seed capital. Local capital sources supplement foundation cell seed capital. Local leadership develops operational substance. Each cell achieves its own operational autonomy while operating inside platform commitments.</w:t>
      </w:r>
    </w:p>
    <w:p>
      <w:pPr>
        <w:spacing w:after="180" w:line="320"/>
      </w:pPr>
      <w:r>
        <w:t xml:space="preserve">Subsequent seeding extends across the broader Appalachian region and eventually beyond. Each cell tithes ten percent of top line revenue supporting continued network expansion. The exponential pattern compounds across decades producing substantial regional coverage and eventual broader coverage at the multi-generational horizon.</w:t>
      </w:r>
    </w:p>
    <w:p>
      <w:pPr>
        <w:pStyle w:val="Heading1"/>
        <w:pageBreakBefore/>
        <w:spacing w:after="240" w:before="240"/>
      </w:pPr>
      <w:r>
        <w:t xml:space="preserve">Founding Board and Governance</w:t>
      </w:r>
    </w:p>
    <w:p>
      <w:pPr>
        <w:spacing w:after="180" w:line="320"/>
      </w:pPr>
      <w:r>
        <w:t xml:space="preserve">The founding board base comes from the regional institutional leadership operating inside the four county service area. The board base is institutional fabric rather than recruited outsiders. The board members carry credibility with the actual farming community and broader regional Christian community that the architecture serves through their existing institutional standing developed across decades.</w:t>
      </w:r>
    </w:p>
    <w:p>
      <w:pPr>
        <w:pStyle w:val="Heading2"/>
        <w:spacing w:after="160" w:before="280"/>
      </w:pPr>
      <w:r>
        <w:t xml:space="preserve">Founding Board Members by County</w:t>
      </w:r>
    </w:p>
    <w:p>
      <w:pPr>
        <w:spacing w:after="180" w:line="320"/>
      </w:pPr>
      <w:r>
        <w:t xml:space="preserve">Walker County representation includes Dalton Green serving as Georgia Young Farmers Association State Secretary and probable director of the foundation cell operations. Brandon Wilson serving as Georgia Young Farmers Association North Region Junior Director. Chapin from the Rock City family with substantial regional brand and tourism economy capability, currently serving with Matt on the Top of Georgia regional development board.</w:t>
      </w:r>
    </w:p>
    <w:p>
      <w:pPr>
        <w:spacing w:after="180" w:line="320"/>
      </w:pPr>
      <w:r>
        <w:t xml:space="preserve">Catoosa County representation includes Bernard Sims serving as Georgia Farm Bureau North Georgia Vice President sitting on the GFB Board of Directors with deep institutional standing across forty-nine north Georgia counties spanning from Alabama to South Carolina. Sims has held the Catoosa County Farm Bureau presidency since 1979, a substantial multi-decade tenure. Sims attends Burning Bush Baptist Church producing faith foundation alignment.</w:t>
      </w:r>
    </w:p>
    <w:p>
      <w:pPr>
        <w:spacing w:after="180" w:line="320"/>
      </w:pPr>
      <w:r>
        <w:t xml:space="preserve">Chattooga County representation includes Garrett Hurley serving as 2026 Chairman of the GFB Young Farmers and Ranchers Committee with state-level institutional standing through the YF&amp;R network.</w:t>
      </w:r>
    </w:p>
    <w:p>
      <w:pPr>
        <w:spacing w:after="180" w:line="320"/>
      </w:pPr>
      <w:r>
        <w:t xml:space="preserve">Dade County representation includes Dr. Pullen as substantial landowner with forest business and mining operations, or Dr. Pullen's son operating in family business operations. The specific representation depends on conflict of interest considerations associated with Dr. Pullen's county commission role and on which family member operationally engages with the founding board service.</w:t>
      </w:r>
    </w:p>
    <w:p>
      <w:pPr>
        <w:pStyle w:val="Heading2"/>
        <w:spacing w:after="160" w:before="280"/>
      </w:pPr>
      <w:r>
        <w:t xml:space="preserve">Director and Operational Leadership</w:t>
      </w:r>
    </w:p>
    <w:p>
      <w:pPr>
        <w:spacing w:after="180" w:line="320"/>
      </w:pPr>
      <w:r>
        <w:t xml:space="preserve">Dalton Green serves as director of foundation cell operations on part-time contractor basis during foundation period (approximately sixty thousand to eighty-five thousand dollars annually) while continuing his GYFA State Secretary role. Green's institutional standing through GYFA produces substantial value to architecture's initial work that full-time engagement would actually reduce by removing him from the GYFA role.</w:t>
      </w:r>
    </w:p>
    <w:p>
      <w:pPr>
        <w:spacing w:after="180" w:line="320"/>
      </w:pPr>
      <w:r>
        <w:t xml:space="preserve">The contractor structure operates inside foundation period discipline. Minimum to start. Reorganize once it is figured out. The architecture launches as initiative under JDA umbrella rather than as fully independent private cooperative from day one. Inherits JDA standing. Reorganizes into independent cooperative once operations are figured out. The cooperative is tied to the fund for now.</w:t>
      </w:r>
    </w:p>
    <w:p>
      <w:pPr>
        <w:spacing w:after="180" w:line="320"/>
      </w:pPr>
      <w:r>
        <w:t xml:space="preserve">Transition to full-time leadership operates after foundation period when operational substance and capital trajectory support the transition. Subsequent founding team members including legal counsel, additional operational leadership, and specialized roles join as foundation cell operations develop substance supporting their addition.</w:t>
      </w:r>
    </w:p>
    <w:p>
      <w:pPr>
        <w:pStyle w:val="Heading2"/>
        <w:spacing w:after="160" w:before="280"/>
      </w:pPr>
      <w:r>
        <w:t xml:space="preserve">Governance Structure</w:t>
      </w:r>
    </w:p>
    <w:p>
      <w:pPr>
        <w:spacing w:after="180" w:line="320"/>
      </w:pPr>
      <w:r>
        <w:t xml:space="preserve">The board operates with flat structure with specific specialist seats rather than hierarchical structure with committee subdivisions. Each specialist seat carries domain operational responsibility rather than passive participation. Producer cooperative member program. Worker progression structure. Comprehensive member institution operations. Capital infrastructure. Mission framework engagement. Construction and material verticals. Healthcare infrastructure. Each specialist seat operates with specific accountability for the domain it represents.</w:t>
      </w:r>
    </w:p>
    <w:p>
      <w:pPr>
        <w:spacing w:after="180" w:line="320"/>
      </w:pPr>
      <w:r>
        <w:t xml:space="preserve">The architectural continuity seat operates as constitutive board position held by founder family across generations. The seat carries one vote on governance decisions. Specific stewardship responsibilities for architectural pattern integrity. No veto authority. No economic authority. No operational management authority. The seat passes through family across generations through family-internal succession that the architecture's governance documents recognize as legitimate. Family controls succession within the seat.</w:t>
      </w:r>
    </w:p>
    <w:p>
      <w:pPr>
        <w:spacing w:after="180" w:line="320"/>
      </w:pPr>
      <w:r>
        <w:t xml:space="preserve">The board recruitment runs in parallel with director engagement. Sims, Hurley, Wilson, Pullen or his son, Chapin, and other institutional leaders engage as board candidates while Green moves through director engagement. The board forms with institutional weight from founding rather than developing institutional base over time.</w:t>
      </w:r>
    </w:p>
    <w:p>
      <w:pPr>
        <w:pStyle w:val="Heading1"/>
        <w:pageBreakBefore/>
        <w:spacing w:after="240" w:before="240"/>
      </w:pPr>
      <w:r>
        <w:t xml:space="preserve">The Architect Serving the System Principle</w:t>
      </w:r>
    </w:p>
    <w:p>
      <w:pPr>
        <w:spacing w:after="180" w:line="320"/>
      </w:pPr>
      <w:r>
        <w:t xml:space="preserve">The architect serves the system. The system runs without the architect. This principle operates from foundation through multi-generational horizon as constitutive structural commitment rather than as eventual transition that develops over time.</w:t>
      </w:r>
    </w:p>
    <w:p>
      <w:pPr>
        <w:spacing w:after="180" w:line="320"/>
      </w:pPr>
      <w:r>
        <w:t xml:space="preserve">The architect identifies the operational successor as the longest lever for the architecture's foundation. The operational successor handles legal counsel hire, founding team development, capital deployment, institutional engagement, board recruitment, producer cooperative member program development, pilot facility deployment, and broader operational development. The architect's direct involvement after the right person is in place is governance level rather than operational.</w:t>
      </w:r>
    </w:p>
    <w:p>
      <w:pPr>
        <w:spacing w:after="180" w:line="320"/>
      </w:pPr>
      <w:r>
        <w:t xml:space="preserve">The principle operates inside specific theological tradition. Mature institutions identify operational successors. The successor executes. The founder transitions to governance and architectural continuity rather than operational management. The architect's calling is the architecture itself rather than the architect's personal operational engagement with the architecture.</w:t>
      </w:r>
    </w:p>
    <w:p>
      <w:pPr>
        <w:spacing w:after="180" w:line="320"/>
      </w:pPr>
      <w:r>
        <w:t xml:space="preserve">The architect's continuing role operates through specific elements. Architectural continuity board seat providing governance participation. Pattern guidance when called for by operational leadership. Creative work that funds substantial architectural deployment across decades. Multi-generational stewardship of the architectural pattern itself across leadership transitions. Specific institutional relationships that the architect's position supports.</w:t>
      </w:r>
    </w:p>
    <w:p>
      <w:pPr>
        <w:spacing w:after="180" w:line="320"/>
      </w:pPr>
      <w:r>
        <w:t xml:space="preserve">The architect's family inherits the bounded position rather than inheriting operational authority over the architecture. Operational authority transfers through cooperative governance mechanisms to subsequent operational leadership. The architectural continuity seat passes through family across generations as governance contribution rather than as economic claim or operational authority. The structural separation between operational authority and architectural continuity preserves the architecture against the failure mode where founder family operational authority would compound into substantial concentration of power across generations.</w:t>
      </w:r>
    </w:p>
    <w:p>
      <w:pPr>
        <w:pStyle w:val="Heading1"/>
        <w:pageBreakBefore/>
        <w:spacing w:after="240" w:before="240"/>
      </w:pPr>
      <w:r>
        <w:t xml:space="preserve">Founder Family Permanent Position</w:t>
      </w:r>
    </w:p>
    <w:p>
      <w:pPr>
        <w:spacing w:after="180" w:line="320"/>
      </w:pPr>
      <w:r>
        <w:t xml:space="preserve">The founder family receives four constitutive structural elements as permanent position. The position operates as plenty rather than as foundation for vast wealth accumulation. The personal plan is not to build vast wealth for the family but to make it so the family cannot fail economically across generations regardless of individual choices, life circumstances, or external pressures.</w:t>
      </w:r>
    </w:p>
    <w:p>
      <w:pPr>
        <w:pStyle w:val="Heading2"/>
        <w:spacing w:after="160" w:before="280"/>
      </w:pPr>
      <w:r>
        <w:t xml:space="preserve">Element One: Farm in Trust</w:t>
      </w:r>
    </w:p>
    <w:p>
      <w:pPr>
        <w:spacing w:after="180" w:line="320"/>
      </w:pPr>
      <w:r>
        <w:t xml:space="preserve">The family farm operates in trust rather than as direct family ownership. The land cannot be sold to liquidate value across generations. The trust holds the land for the family's stewardship across time rather than for any specific generation's economic disposition. The land operates as multi-generational family asset that supports family operation across decades while preventing the wealth concentration pattern where successful family land becomes increasingly valuable real estate that gets sold to outside parties when subsequent generations face financial pressure or lose connection to the land.</w:t>
      </w:r>
    </w:p>
    <w:p>
      <w:pPr>
        <w:spacing w:after="180" w:line="320"/>
      </w:pPr>
      <w:r>
        <w:t xml:space="preserve">The trust structure protects the land from family disputes that might otherwise threaten its continuity. Marriage, divorce, inheritance disputes, family conflicts across generations cannot fragment land held in trust the way directly owned land can fragment. The trust holds the land for the architectural continuity purpose. Family members operate on the land as beneficiaries of the trust rather than as outright owners who can dispose of pieces according to individual circumstance.</w:t>
      </w:r>
    </w:p>
    <w:p>
      <w:pPr>
        <w:pStyle w:val="Heading2"/>
        <w:spacing w:after="160" w:before="280"/>
      </w:pPr>
      <w:r>
        <w:t xml:space="preserve">Element Two: Architectural Continuity Board Seat</w:t>
      </w:r>
    </w:p>
    <w:p>
      <w:pPr>
        <w:spacing w:after="180" w:line="320"/>
      </w:pPr>
      <w:r>
        <w:t xml:space="preserve">The architectural continuity board seat operates as governance responsibility across generations rather than as economic claim. One vote on governance decisions. Specific stewardship responsibilities for architectural pattern integrity. No veto authority. No economic authority. No operational management authority. The seat passes through family across generations through family-internal succession that the architecture's governance documents recognize as legitimate.</w:t>
      </w:r>
    </w:p>
    <w:p>
      <w:pPr>
        <w:spacing w:after="180" w:line="320"/>
      </w:pPr>
      <w:r>
        <w:t xml:space="preserve">The seat holder participates substantively in governance decisions. The seat holder maintains the architectural pattern's structural integrity across generations. The seat holder serves as institutional memory and as architectural conscience for the broader board. The seat is service rather than honor.</w:t>
      </w:r>
    </w:p>
    <w:p>
      <w:pPr>
        <w:pStyle w:val="Heading2"/>
        <w:spacing w:after="160" w:before="280"/>
      </w:pPr>
      <w:r>
        <w:t xml:space="preserve">Element Three: Guaranteed Cooperative Membership</w:t>
      </w:r>
    </w:p>
    <w:p>
      <w:pPr>
        <w:spacing w:after="180" w:line="320"/>
      </w:pPr>
      <w:r>
        <w:t xml:space="preserve">The family operates as cooperative member family across generations with the same package terms and member benefits that other producer cooperative member families receive. Set monthly draws against production from the family farm. Comprehensive benefits coverage. Healthcare access through cooperative healthcare infrastructure. Food access through cooperative supply. Housing on the family farm without architecture rental relationship. Education access through cooperative educational operations. Legal services through cooperative legal counsel. Banking through cooperative credit union. Insurance through cooperative self-insurance. Worker progression access for family members entering cooperative employment.</w:t>
      </w:r>
    </w:p>
    <w:p>
      <w:pPr>
        <w:spacing w:after="180" w:line="320"/>
      </w:pPr>
      <w:r>
        <w:t xml:space="preserve">The guaranteed membership ensures the family's economic position is sustained at the cooperative member family level across generations regardless of the family farm's specific production capacity. If the farm operates at substantial production, the family's draws and benefits reflect that production. If the farm operates at smaller production, the family's draws and benefits are sustained through the guaranteed membership structure. The family is not vulnerable to economic disruption from variable farm performance. The family floor operates as part of the broader floor mechanism.</w:t>
      </w:r>
    </w:p>
    <w:p>
      <w:pPr>
        <w:pStyle w:val="Heading2"/>
        <w:spacing w:after="160" w:before="280"/>
      </w:pPr>
      <w:r>
        <w:t xml:space="preserve">Element Four: Decent Dividend Through Trust Ownership</w:t>
      </w:r>
    </w:p>
    <w:p>
      <w:pPr>
        <w:spacing w:after="180" w:line="320"/>
      </w:pPr>
      <w:r>
        <w:t xml:space="preserve">The family receives ongoing dividend flow from cooperative operations through trust ownership retention representing approximately ten percent of dividend distributions. The retention operates inside the broader member dividend mechanism rather than as separate founder benefit outside the architecture's broader pattern.</w:t>
      </w:r>
    </w:p>
    <w:p>
      <w:pPr>
        <w:spacing w:after="180" w:line="320"/>
      </w:pPr>
      <w:r>
        <w:t xml:space="preserve">The retention reflects founder contribution to cooperative operations at appropriate scale. Founding work. Architectural development. Ongoing governance through the family seat. Continuing capital flow from creative career success during foundation period. Broader contribution across the multi-generational horizon. The ten percent retention reflects this contribution at foundation level.</w:t>
      </w:r>
    </w:p>
    <w:p>
      <w:pPr>
        <w:spacing w:after="180" w:line="320"/>
      </w:pPr>
      <w:r>
        <w:t xml:space="preserve">The retention is bounded. As the cooperative scales and as more members contribute substantially across decades, founder contribution remains a specific portion of total contribution rather than growing proportionally with the cooperative's scale. The bounded percentage operates as appropriate scale boundary. The retention does not grow disproportionately as the architecture succeeds. The retention reflects foundational contribution at appropriate scale rather than at extractive scale.</w:t>
      </w:r>
    </w:p>
    <w:p>
      <w:pPr>
        <w:spacing w:after="180" w:line="320"/>
      </w:pPr>
      <w:r>
        <w:t xml:space="preserve">The retention operates inside the trust structure. The trust holds the equity that generates the ten percent dividend retention. The trust receives the dividend distributions. The trust distributes to family beneficiaries according to trust terms. The retention operates as ongoing trust income across generations rather than as direct family income subject to individual family member disposition.</w:t>
      </w:r>
    </w:p>
    <w:p>
      <w:pPr>
        <w:pStyle w:val="Heading2"/>
        <w:spacing w:after="160" w:before="280"/>
      </w:pPr>
      <w:r>
        <w:t xml:space="preserve">Bounded Position as Structural Protection</w:t>
      </w:r>
    </w:p>
    <w:p>
      <w:pPr>
        <w:spacing w:after="180" w:line="320"/>
      </w:pPr>
      <w:r>
        <w:t xml:space="preserve">The four elements operate together as structural protection rather than as foundation for wealth accumulation. The family cannot fall below a specific floor regardless of individual decisions or external circumstances. Land. Institutional standing. Economic participation. Income flow. Each element protects against specific failure modes that wealth alone cannot prevent.</w:t>
      </w:r>
    </w:p>
    <w:p>
      <w:pPr>
        <w:spacing w:after="180" w:line="320"/>
      </w:pPr>
      <w:r>
        <w:t xml:space="preserve">The bounded position addresses the deeper failure mode that vast wealth typically produces. Wealth concentration across generations tends to corrupt the families that hold it. Successful generations accumulate. Subsequent generations inherit substantial assets without the formation that produced the original success. Wealth without formation generates dysfunction. The structural protection avoids this failure mode through bounded position requiring the family to maintain connection to the work, to the land, to the cooperative community, to the broader architectural purpose.</w:t>
      </w:r>
    </w:p>
    <w:p>
      <w:pPr>
        <w:spacing w:after="180" w:line="320"/>
      </w:pPr>
      <w:r>
        <w:t xml:space="preserve">The framing fits theologically through Proverbs 30 prayer for neither poverty nor riches. Poverty tempts toward stealing and dishonoring God. Riches tempt toward forgetting God. The middle position of sufficiency without abundance is the position the prayer asks for. The structural protection operates in this middle position. The family has enough. The family does not have so much that the wealth itself becomes the problem.</w:t>
      </w:r>
    </w:p>
    <w:p>
      <w:pPr>
        <w:spacing w:after="180" w:line="320"/>
      </w:pPr>
      <w:r>
        <w:t xml:space="preserve">The framing also creates structural alignment between family interest and architectural interest across generations. Family that operates inside the architecture's economic structure has interest in the architecture's continued operation rather than in extracting from it. Family that holds bounded position within the architecture has interest in the architecture's expansion to broader regions because expansion strengthens the architecture's overall operation that the family operates inside. Family that depends on the architecture's continued covenant character has interest in maintaining the architecture's structural integrity rather than allowing drift toward extraction.</w:t>
      </w:r>
    </w:p>
    <w:p>
      <w:pPr>
        <w:pStyle w:val="Heading1"/>
        <w:pageBreakBefore/>
        <w:spacing w:after="240" w:before="240"/>
      </w:pPr>
      <w:r>
        <w:t xml:space="preserve">The Wise as Serpents and Harmless as Doves Discipline</w:t>
      </w:r>
    </w:p>
    <w:p>
      <w:pPr>
        <w:spacing w:after="180" w:line="320"/>
      </w:pPr>
      <w:r>
        <w:t xml:space="preserve">Matthew 10:16 names the operational discipline. Behold, I send you out as sheep in the midst of wolves. Be wise as serpents and harmless as doves. The combination governs how the architecture operates inside hostile territory while accomplishing the work.</w:t>
      </w:r>
    </w:p>
    <w:p>
      <w:pPr>
        <w:pStyle w:val="Heading2"/>
        <w:spacing w:after="160" w:before="280"/>
      </w:pPr>
      <w:r>
        <w:t xml:space="preserve">Wise as Serpents</w:t>
      </w:r>
    </w:p>
    <w:p>
      <w:pPr>
        <w:spacing w:after="180" w:line="320"/>
      </w:pPr>
      <w:r>
        <w:t xml:space="preserve">Strategic clarity about how the world actually operates. Understanding institutional structures, capital flows, regulatory frameworks, political dynamics, competitive positioning. Recognizing extractive systems for what they are. Operating with full awareness of how the corporate economic system extracts from regional Christian community and how protective infrastructure has to be designed to actually protect rather than to perform opposition.</w:t>
      </w:r>
    </w:p>
    <w:p>
      <w:pPr>
        <w:spacing w:after="180" w:line="320"/>
      </w:pPr>
      <w:r>
        <w:t xml:space="preserve">Specific elements of serpent wisdom in the architecture. The grappling principles of regional institutional engagement. The chess mechanics of long-term strategic positioning. The TVA framing of infrastructure provision rather than direct operation. The disintermediation purpose cutting middleman extraction across multiple industries. The platform economics of Android-style spread across regions. The capital infrastructure mechanisms including fund, token, COLI, credit union, and self-insurance operating inside specific legal frameworks at substantial scale. The multi-generational horizon planning that extends across decades. The institutional engagement at regional scale across multiple states. Each operates with serpent wisdom about how institutional structures actually work.</w:t>
      </w:r>
    </w:p>
    <w:p>
      <w:pPr>
        <w:pStyle w:val="Heading2"/>
        <w:spacing w:after="160" w:before="280"/>
      </w:pPr>
      <w:r>
        <w:t xml:space="preserve">Harmless as Doves</w:t>
      </w:r>
    </w:p>
    <w:p>
      <w:pPr>
        <w:spacing w:after="180" w:line="320"/>
      </w:pPr>
      <w:r>
        <w:t xml:space="preserve">Operating without malice, without deception, without compromise of integrity, without the corruption that strategic sophistication often produces. The covenant equity discipline. The architect serving the system rather than extracting from it. The family receiving farm and bounded position rather than wealth accumulation. The mission framework with broad confessional standard serving cross-denominational Christian community. The members benefiting substantively rather than nominally. The structures operating inside legitimate frameworks rather than in legal gray areas. The transparency about what the architecture actually does.</w:t>
      </w:r>
    </w:p>
    <w:p>
      <w:pPr>
        <w:spacing w:after="180" w:line="320"/>
      </w:pPr>
      <w:r>
        <w:t xml:space="preserve">Specific elements of dove harmlessness in the architecture. The bounded founder family position. The covenant equity discipline operating across founder equity dilution. The Matthew 18:20 ecclesiology rejecting all remnant church claims. The architecture serving the broader Protestant majority that has not built comprehensive infrastructure for itself. The legitimate framework compliance from initial structural design rather than retrofit after operations begin. The substantive member benefit through comprehensive member institution model. The genuine transparency about how the architecture operates.</w:t>
      </w:r>
    </w:p>
    <w:p>
      <w:pPr>
        <w:pStyle w:val="Heading2"/>
        <w:spacing w:after="160" w:before="280"/>
      </w:pPr>
      <w:r>
        <w:t xml:space="preserve">The Combination as Operational Discipline</w:t>
      </w:r>
    </w:p>
    <w:p>
      <w:pPr>
        <w:spacing w:after="180" w:line="320"/>
      </w:pPr>
      <w:r>
        <w:t xml:space="preserve">Many organizations operate with one without the other and fail accordingly. Some operate with strategic sophistication that lacks integrity. They become extractive even while claiming legitimate purpose. The serpent wisdom turns malicious. Some operate with integrity that lacks strategic sophistication. They get crushed by the systems they cannot understand or navigate. The dove harmlessness becomes ineffective.</w:t>
      </w:r>
    </w:p>
    <w:p>
      <w:pPr>
        <w:spacing w:after="180" w:line="320"/>
      </w:pPr>
      <w:r>
        <w:t xml:space="preserve">The architecture operates with both. Strategic sophistication about capital infrastructure, institutional positioning, regulatory frameworks, competitive dynamics, multi-generational planning. Operational integrity through covenant equity discipline, architect serving the system, bounded family position, broad confessional service, legitimate framework compliance, transparent member benefit. The combination produces architecture that can actually accomplish the work the architecture exists to do without becoming corrupted by the sophistication required to accomplish it.</w:t>
      </w:r>
    </w:p>
    <w:p>
      <w:pPr>
        <w:spacing w:after="180" w:line="320"/>
      </w:pPr>
      <w:r>
        <w:t xml:space="preserve">The discipline operates as constitutive structural commitment that subsequent leadership across generations cannot easily modify. The architectural foundation document captures the discipline. The board's responsibility through the architectural continuity seat preserves the discipline. The structural mechanisms operate inside the discipline. The discipline grounds the architecture's broader integrity across the multi-generational horizon.</w:t>
      </w:r>
    </w:p>
    <w:p>
      <w:pPr>
        <w:pStyle w:val="Heading1"/>
        <w:pageBreakBefore/>
        <w:spacing w:after="240" w:before="240"/>
      </w:pPr>
      <w:r>
        <w:t xml:space="preserve">Multi-Generational Horizon</w:t>
      </w:r>
    </w:p>
    <w:p>
      <w:pPr>
        <w:spacing w:after="180" w:line="320"/>
      </w:pPr>
      <w:r>
        <w:t xml:space="preserve">The architecture operates across decades and generations rather than across years. Foundation cell deployment launches the work. Subsequent regional cells extend the work. Multi-generational sustained execution produces the broader regional transformation.</w:t>
      </w:r>
    </w:p>
    <w:p>
      <w:pPr>
        <w:spacing w:after="180" w:line="320"/>
      </w:pPr>
      <w:r>
        <w:t xml:space="preserve">The horizon governs operational decisions. Decisions evaluate against multi-generational implications rather than against short-term operational efficiency alone. Capital deployment commits to long-term value creation rather than short-term return optimization. Personnel decisions evaluate against multi-decade engagement potential. Institutional partnerships develop with multi-decade relationship horizons. Each operational dimension operates inside the broader multi-generational horizon.</w:t>
      </w:r>
    </w:p>
    <w:p>
      <w:pPr>
        <w:spacing w:after="180" w:line="320"/>
      </w:pPr>
      <w:r>
        <w:t xml:space="preserve">The horizon also governs how the architecture handles uncertainty. Specific outcomes depend on factors operating beyond direct control. Creative career success at scale supporting substantial capital deployment is uncertain. Subsequent cell deployment at scale supporting regional transformation operates inside substantial uncertainty. Regulatory frameworks supporting specific mechanisms may change. Political conditions affecting institutional engagement may shift. The horizon accommodates the uncertainty through faithful sustained execution across whatever specific conditions operate rather than through dependence on specific predicted conditions.</w:t>
      </w:r>
    </w:p>
    <w:p>
      <w:pPr>
        <w:pStyle w:val="Heading2"/>
        <w:spacing w:after="160" w:before="280"/>
      </w:pPr>
      <w:r>
        <w:t xml:space="preserve">Stewardship Discipline</w:t>
      </w:r>
    </w:p>
    <w:p>
      <w:pPr>
        <w:spacing w:after="180" w:line="320"/>
      </w:pPr>
      <w:r>
        <w:t xml:space="preserve">Each leadership generation stewards the architecture for the next generation rather than extracting from the architecture during their tenure. The founding generation establishes structural commitments. Subsequent leadership maintains the commitments. Each generation contributes to architectural development without subordinating the architecture to their specific generational priorities.</w:t>
      </w:r>
    </w:p>
    <w:p>
      <w:pPr>
        <w:spacing w:after="180" w:line="320"/>
      </w:pPr>
      <w:r>
        <w:t xml:space="preserve">The stewardship discipline operates through specific structural mechanisms. The architectural continuity board seat preserves architectural integrity across leadership transitions. The covenant equity discipline operates structurally rather than through individual leadership decisions. The mission framework engagement operates inside specific commitments that subsequent leadership cannot easily modify. The capital infrastructure operates inside specific frameworks with specific constitutive protections.</w:t>
      </w:r>
    </w:p>
    <w:p>
      <w:pPr>
        <w:pStyle w:val="Heading2"/>
        <w:spacing w:after="160" w:before="280"/>
      </w:pPr>
      <w:r>
        <w:t xml:space="preserve">Done State Definition</w:t>
      </w:r>
    </w:p>
    <w:p>
      <w:pPr>
        <w:spacing w:after="180" w:line="320"/>
      </w:pPr>
      <w:r>
        <w:t xml:space="preserve">The architecture's done state has specific structural meaning. The foundation cell reaches operational substance with comprehensive Christian business cluster across participating church facilities, producer cooperative member program at scale, worker progression structure operating across multiple skill categories, healthcare and broader services operating, self-insurance and credit union operating, capital infrastructure operating sustainably. Subsequent regional implementations have launched and are operating independently. Pattern documentation supports continued replication. Outsourcing relationships extend platform benefits to adjacent regions. The architecture is done when it operates at the scale that delivers substantial protective infrastructure across the broader Appalachian footprint and operates self-sustainably without requiring continued founder capital injection.</w:t>
      </w:r>
    </w:p>
    <w:p>
      <w:pPr>
        <w:spacing w:after="180" w:line="320"/>
      </w:pPr>
      <w:r>
        <w:t xml:space="preserve">The done state may take fifteen to twenty-five years from foundation cell launch depending on creative career trajectory and operational deployment pace. Creative career operates across this timeframe with capital flowing to architectural work continuously. Architectural work operates across this timeframe with deployment proceeding as capital and operational capacity support.</w:t>
      </w:r>
    </w:p>
    <w:p>
      <w:pPr>
        <w:spacing w:after="180" w:line="320"/>
      </w:pPr>
      <w:r>
        <w:t xml:space="preserve">After done, continued architectural operation extends through subsequent generations of leadership. Family inherits the farm and the board seat. The architecture operates self-sustainably. The done state is not retirement from the work. The done state is the work having reached substance that operates without requiring continued founder capital injection while continuing to develop across the multi-generational horizon.</w:t>
      </w:r>
    </w:p>
    <w:p>
      <w:pPr>
        <w:pStyle w:val="Heading1"/>
        <w:pageBreakBefore/>
        <w:spacing w:after="240" w:before="240"/>
      </w:pPr>
      <w:r>
        <w:t xml:space="preserve">Strategic Sequencing</w:t>
      </w:r>
    </w:p>
    <w:p>
      <w:pPr>
        <w:spacing w:after="180" w:line="320"/>
      </w:pPr>
      <w:r>
        <w:t xml:space="preserve">The foundation period operates inside specific sequencing that supports minimum-to-start discipline while building toward comprehensive deployment. The sequencing accommodates capital constraints, operational learning, institutional engagement timing, and broader practical requirements of starting at small scale and developing toward substantial substance.</w:t>
      </w:r>
    </w:p>
    <w:p>
      <w:pPr>
        <w:pStyle w:val="Heading2"/>
        <w:spacing w:after="160" w:before="280"/>
      </w:pPr>
      <w:r>
        <w:t xml:space="preserve">Foundation Period: Year One</w:t>
      </w:r>
    </w:p>
    <w:p>
      <w:pPr>
        <w:spacing w:after="180" w:line="320"/>
      </w:pPr>
      <w:r>
        <w:t xml:space="preserve">Green engaged as part-time contractor under JDA umbrella. Approximately sixty thousand to eighty-five thousand dollars in annual contractor compensation. Outside legal counsel engaged for incorporation and structural work. Approximately twenty-five thousand to seventy-five thousand dollars. Basic operational infrastructure including banking, accounting, and basic digital systems. Approximately twenty-five thousand to sixty thousand dollars. Initial producer cooperative member program working capital and reserves for pilot cohort of three to five members. Approximately four hundred thousand to one million dollars (operating through fund mechanism rather than separate capital sourcing). Travel and engagement costs. Approximately fifteen thousand to forty thousand dollars.</w:t>
      </w:r>
    </w:p>
    <w:p>
      <w:pPr>
        <w:spacing w:after="180" w:line="320"/>
      </w:pPr>
      <w:r>
        <w:t xml:space="preserve">Total non-fund startup capital approximately one hundred twenty-five thousand to two hundred sixty thousand dollars for the first year. The producer cooperative member program working capital flows through the fund mechanism with two percent service charge on cash flow rather than requiring separate capital sourcing.</w:t>
      </w:r>
    </w:p>
    <w:p>
      <w:pPr>
        <w:spacing w:after="180" w:line="320"/>
      </w:pPr>
      <w:r>
        <w:t xml:space="preserve">Year one work scope. Institutional engagement with founding board candidates. Producer cooperative member package development at concrete operational detail through outside legal counsel work. Initial pilot cohort recruitment and operation. Initial church engagement for mission framework deployment. Operational learning that supports the reorganization decision.</w:t>
      </w:r>
    </w:p>
    <w:p>
      <w:pPr>
        <w:pStyle w:val="Heading2"/>
        <w:spacing w:after="160" w:before="280"/>
      </w:pPr>
      <w:r>
        <w:t xml:space="preserve">Foundation Period: Years Two Through Five</w:t>
      </w:r>
    </w:p>
    <w:p>
      <w:pPr>
        <w:spacing w:after="180" w:line="320"/>
      </w:pPr>
      <w:r>
        <w:t xml:space="preserve">Reorganization based on what year one demonstrates. The architecture transitions to whatever shape the operational experience supports rather than to a predetermined shape. Cooperative legal entity incorporates with full structural design. Founding board forms with institutional leaders transitioning from advisory engagement to formal board service. Capital structure expands through patient capital partner relationships, USDA program engagement, JDA bond financing, LIHTC partnerships for housing deployment, and fund mechanism scaling. Producer cooperative member program scales from pilot cohort to substantial regional presence. Christian business cluster deploys across initial participating church facilities. Worker progression structure operates across initial categories. Healthcare infrastructure deploys at participating church facilities through rotating professional schedules.</w:t>
      </w:r>
    </w:p>
    <w:p>
      <w:pPr>
        <w:pStyle w:val="Heading2"/>
        <w:spacing w:after="160" w:before="280"/>
      </w:pPr>
      <w:r>
        <w:t xml:space="preserve">Foundation Period: Years Five Through Seven</w:t>
      </w:r>
    </w:p>
    <w:p>
      <w:pPr>
        <w:spacing w:after="180" w:line="320"/>
      </w:pPr>
      <w:r>
        <w:t xml:space="preserve">Foundation cell reaches operational substance supporting tithe-funded expansion. Self-insurance operations launch with limited initial scope and expand to additional lines. Credit union receives charter and begins operations. Comprehensive member institution model operates across producer cooperative members, workers, professional staff, and member family participants. Token mechanism deploys as internal ledger infrastructure with deliberate external market exposure when foundation cell substance supports it. COLI funeral benefit program deploys with specialized counsel ensuring compliant structure from initial design.</w:t>
      </w:r>
    </w:p>
    <w:p>
      <w:pPr>
        <w:pStyle w:val="Heading2"/>
        <w:spacing w:after="160" w:before="280"/>
      </w:pPr>
      <w:r>
        <w:t xml:space="preserve">Subsequent Period: Years Seven and Beyond</w:t>
      </w:r>
    </w:p>
    <w:p>
      <w:pPr>
        <w:spacing w:after="180" w:line="320"/>
      </w:pPr>
      <w:r>
        <w:t xml:space="preserve">First subsequent cell launches when foundation cell tithe accumulation supports it. Initial seeding targets across North Alabama, North Georgia, Chattanooga, and Dalton receive initial seed capital. Each subsequent cell develops through similar foundation period adapted to local conditions. Tithe accumulation across operating cells supports continued expansion.</w:t>
      </w:r>
    </w:p>
    <w:p>
      <w:pPr>
        <w:spacing w:after="180" w:line="320"/>
      </w:pPr>
      <w:r>
        <w:t xml:space="preserve">Regional resource control acquisitions begin as fund mechanism, token mechanism, and broader capital infrastructure produce capital base supporting substantial acquisitions. Mount Vernon Mills acquisition operates as one specific case where vertical integration recovers substantial regional industrial substance. Land of historical, natural, or mineral value receives priority within broader land acquisition framework.</w:t>
      </w:r>
    </w:p>
    <w:p>
      <w:pPr>
        <w:spacing w:after="180" w:line="320"/>
      </w:pPr>
      <w:r>
        <w:t xml:space="preserve">Multi-generational deployment continues across decades. Network expansion fund supports continued cell deployment. Each operating cell tithes ten percent of top line revenue. Aggregate tithe across operating cells produces substantial expansion capacity. The Luxembourg-equivalent prosperity vision develops across the multi-generational horizon as cells aggregate into regional transformation.</w:t>
      </w:r>
    </w:p>
    <w:p>
      <w:pPr>
        <w:pStyle w:val="Heading1"/>
        <w:pageBreakBefore/>
        <w:spacing w:after="240" w:before="240"/>
      </w:pPr>
      <w:r>
        <w:t xml:space="preserve">Conclusion</w:t>
      </w:r>
    </w:p>
    <w:p>
      <w:pPr>
        <w:spacing w:after="180" w:line="320"/>
      </w:pPr>
      <w:r>
        <w:t xml:space="preserve">The architecture exists to raise the floor that all member families operate from across the broader Christian community in Appalachia. Every structural element serves this purpose. The vision is Luxembourg-equivalent prosperity for the Appalachian population through floor raising at population scale across the multi-generational horizon.</w:t>
      </w:r>
    </w:p>
    <w:p>
      <w:pPr>
        <w:spacing w:after="180" w:line="320"/>
      </w:pPr>
      <w:r>
        <w:t xml:space="preserve">The work operates inside specific theological discipline. Wise as serpents and harmless as doves. The combination preserves the architecture as something different from what it is sent to address while accomplishing substantial regional impact. The architecture operates as antivirus inside hostile territory rather than as retreat to parallel community.</w:t>
      </w:r>
    </w:p>
    <w:p>
      <w:pPr>
        <w:spacing w:after="180" w:line="320"/>
      </w:pPr>
      <w:r>
        <w:t xml:space="preserve">The work proceeds through specific structural mechanisms. The cooperative as comprehensive member institution. The TVA framing as infrastructure provider. The disintermediation cutting middleman extraction across multiple industries. The regional resource control producing capital flow internal to the region. The capital infrastructure including fund, token, COLI, credit union, and self-insurance operating inside legitimate frameworks at substantial scale. The platform replication supporting subsequent cells across the broader region. The multi-generational horizon governing all operational decisions.</w:t>
      </w:r>
    </w:p>
    <w:p>
      <w:pPr>
        <w:spacing w:after="180" w:line="320"/>
      </w:pPr>
      <w:r>
        <w:t xml:space="preserve">The work proceeds through specific people. The founding board base from the regional institutional fabric. The director carrying operational engagement. Specialized counsel ensuring compliant structures. Subsequent operational leadership across decades. Each operates inside the discipline that the architecture maintains.</w:t>
      </w:r>
    </w:p>
    <w:p>
      <w:pPr>
        <w:spacing w:after="180" w:line="320"/>
      </w:pPr>
      <w:r>
        <w:t xml:space="preserve">The architect serves the system. The system runs without the architect. The architect's family receives the bounded position as plenty rather than as foundation for vast wealth accumulation. The architecture operates across generations through subsequent leadership while preserving structural integrity through constitutive commitments.</w:t>
      </w:r>
    </w:p>
    <w:p>
      <w:pPr>
        <w:spacing w:after="180" w:line="320"/>
      </w:pPr>
      <w:r>
        <w:t xml:space="preserve">The work is faithful work. Inspired creative work that funds the architecture. Architectural work that produces structural framework. Theological foundation that grounds the work in something deeper than personal ambition. Specific regional position that supports institutional engagement. Specific family heritage connecting the work to actual regional substance. The combination operates at scale appropriate to the calling.</w:t>
      </w:r>
    </w:p>
    <w:p>
      <w:pPr>
        <w:spacing w:after="180" w:line="320"/>
      </w:pPr>
      <w:r>
        <w:t xml:space="preserve">Glory to God alone. The work is the planning Bible. Plan to execute.</w:t>
      </w:r>
    </w:p>
    <w:p>
      <w:pPr>
        <w:spacing w:after="180" w:line="320"/>
      </w:pPr>
      <w:r>
        <w:rPr>
          <w:i/>
          <w:iCs/>
        </w:rPr>
        <w:t xml:space="preserve">Free State of Dade funding free and prosperous Appalachia.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8"/>
        <w:szCs w:val="18"/>
      </w:rPr>
      <w:t xml:space="preserve">Architecture for Raising the Floor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6"/>
      <w:szCs w:val="36"/>
    </w:rPr>
  </w:style>
  <w:style w:type="paragraph" w:styleId="Heading2">
    <w:name w:val="Heading 2"/>
    <w:basedOn w:val="Normal"/>
    <w:next w:val="Normal"/>
    <w:qFormat/>
    <w:pPr>
      <w:spacing w:after="180" w:before="280"/>
      <w:outlineLvl w:val="1"/>
    </w:pPr>
    <w:rPr>
      <w:rFonts w:ascii="Calibri" w:cs="Calibri" w:eastAsia="Calibri" w:hAnsi="Calibri"/>
      <w:b/>
      <w:bCs/>
      <w:sz w:val="30"/>
      <w:szCs w:val="30"/>
    </w:rPr>
  </w:style>
  <w:style w:type="paragraph" w:styleId="Heading3">
    <w:name w:val="Heading 3"/>
    <w:basedOn w:val="Normal"/>
    <w:next w:val="Normal"/>
    <w:qFormat/>
    <w:pPr>
      <w:spacing w:after="12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2026-04-26T22:02:52.427Z</dcterms:created>
  <dcterms:modified xsi:type="dcterms:W3CDTF">2026-04-26T22:02:52.428Z</dcterms:modified>
</cp:coreProperties>
</file>

<file path=docProps/custom.xml><?xml version="1.0" encoding="utf-8"?>
<Properties xmlns="http://schemas.openxmlformats.org/officeDocument/2006/custom-properties" xmlns:vt="http://schemas.openxmlformats.org/officeDocument/2006/docPropsVTypes"/>
</file>