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sz w:val="56"/>
          <w:szCs w:val="56"/>
        </w:rPr>
        <w:t xml:space="preserve">Lighthouse</w:t>
      </w:r>
    </w:p>
    <w:p>
      <w:pPr>
        <w:spacing w:after="480"/>
        <w:jc w:val="center"/>
      </w:pPr>
      <w:r>
        <w:rPr>
          <w:sz w:val="32"/>
          <w:szCs w:val="32"/>
        </w:rPr>
        <w:t xml:space="preserve">Wealth Management for the 99 Percent</w:t>
      </w:r>
    </w:p>
    <w:p>
      <w:pPr>
        <w:spacing w:after="720"/>
        <w:jc w:val="center"/>
      </w:pPr>
      <w:r>
        <w:rPr>
          <w:i/>
          <w:iCs/>
          <w:sz w:val="22"/>
          <w:szCs w:val="22"/>
        </w:rPr>
        <w:t xml:space="preserve">A regional cooperative architecture deploying the proven wealth-building tools that have served wealthy families for generations to working men and women across Appalachia. Same tools as commercial asset managers operating at scale. Opposite purpose serving member family wealth and broader community substance rather than corporate shareholder return.</w:t>
      </w:r>
    </w:p>
    <w:p>
      <w:pPr>
        <w:spacing w:after="240"/>
        <w:jc w:val="center"/>
      </w:pPr>
      <w:r>
        <w:rPr>
          <w:sz w:val="24"/>
          <w:szCs w:val="24"/>
        </w:rPr>
        <w:t xml:space="preserve">Foundation Document</w:t>
      </w:r>
    </w:p>
    <w:p>
      <w:pPr>
        <w:spacing w:after="120"/>
        <w:jc w:val="center"/>
      </w:pPr>
      <w:r>
        <w:rPr>
          <w:sz w:val="22"/>
          <w:szCs w:val="22"/>
        </w:rPr>
        <w:t xml:space="preserve">Northwest Georgia Foundation Cell</w:t>
      </w:r>
    </w:p>
    <w:p>
      <w:pPr>
        <w:spacing w:after="480"/>
        <w:jc w:val="center"/>
      </w:pPr>
      <w:r>
        <w:rPr>
          <w:sz w:val="22"/>
          <w:szCs w:val="22"/>
        </w:rPr>
        <w:t xml:space="preserve">Catoosa, Walker, Dade, Chattooga</w:t>
      </w:r>
    </w:p>
    <w:p>
      <w:pPr>
        <w:spacing w:after="240"/>
        <w:jc w:val="center"/>
      </w:pPr>
      <w:r>
        <w:rPr>
          <w:i/>
          <w:iCs/>
          <w:sz w:val="20"/>
          <w:szCs w:val="20"/>
        </w:rPr>
        <w:t xml:space="preserve">Glory to God alone</w:t>
      </w:r>
    </w:p>
    <w:p>
      <w:pPr>
        <w:spacing w:after="240"/>
        <w:jc w:val="center"/>
      </w:pPr>
      <w:r>
        <w:rPr>
          <w:i/>
          <w:iCs/>
          <w:sz w:val="18"/>
          <w:szCs w:val="18"/>
        </w:rPr>
        <w:t xml:space="preserve">Free State of Dade funding free and prosperous Appalachia</w:t>
      </w:r>
    </w:p>
    <w:p>
      <w:pPr>
        <w:pStyle w:val="Heading1"/>
        <w:pageBreakBefore/>
        <w:spacing w:after="240" w:before="240"/>
      </w:pPr>
      <w:r>
        <w:t xml:space="preserve">The Central Articulation</w:t>
      </w:r>
    </w:p>
    <w:p>
      <w:pPr>
        <w:spacing w:after="180" w:line="320"/>
      </w:pPr>
      <w:r>
        <w:t xml:space="preserve">Lighthouse is the wealth management tool for the 99 percent.</w:t>
      </w:r>
    </w:p>
    <w:p>
      <w:pPr>
        <w:spacing w:after="180" w:line="320"/>
      </w:pPr>
      <w:r>
        <w:t xml:space="preserve">Wealth management has operated as specific industry serving narrow elite for decades. Family offices. Private banks. Trust companies. Specialized counsel. Investment advisory. Estate planning. Tax optimization. Insurance structures. Real estate portfolios. Equity ownership. Multi-generational planning. The industry exists. The industry operates substantially. The industry produces what wealthy families have operated for generations.</w:t>
      </w:r>
    </w:p>
    <w:p>
      <w:pPr>
        <w:spacing w:after="180" w:line="320"/>
      </w:pPr>
      <w:r>
        <w:t xml:space="preserve">The 99 percent has not had access to wealth management infrastructure at meaningful scale. Some retail investment products exist. Some retirement plans operate. Some basic estate planning. The fragmentary access does not produce the integrated wealth management that wealthy families operate across generations. The integration is what produces the substantial multi-generational wealth accumulation. The fragmentation produces sufficiency at best and substantial economic vulnerability at worst.</w:t>
      </w:r>
    </w:p>
    <w:p>
      <w:pPr>
        <w:spacing w:after="180" w:line="320"/>
      </w:pPr>
      <w:r>
        <w:t xml:space="preserve">Lighthouse provides integrated wealth management infrastructure for the 99 percent at scale that approaches what wealthy families operate. Trust structures preserving assets across generations. Tax-efficient accumulation through buy-and-borrow mechanisms. Comprehensive professional services through cooperative member institution model. Healthcare access through cooperative healthcare infrastructure. Educational access through cooperative educational operations. Estate planning through cooperative legal counsel. Insurance through cooperative self-insurance and member-owned whole life structures. Banking through cooperative credit union. Equity participation through cooperative member equity. Real estate through cooperative real estate operations. Multi-generational planning through cooperative governance and family floor protection. Each element operates inside the integrated wealth management infrastructure rather than as separate fragmentary service.</w:t>
      </w:r>
    </w:p>
    <w:p>
      <w:pPr>
        <w:spacing w:after="180" w:line="320"/>
      </w:pPr>
      <w:r>
        <w:t xml:space="preserve">The architecture brings the benefits rich people have for their family to the working men and women of Appalachia. The mechanisms that have produced substantial wealth for narrow elite extend to broad regional Christian community. The democratization of access to legitimate wealth-building mechanisms is the innovation. The mechanisms themselves are not the innovation.</w:t>
      </w:r>
    </w:p>
    <w:p>
      <w:pPr>
        <w:spacing w:after="180" w:line="320"/>
      </w:pPr>
      <w:r>
        <w:t xml:space="preserve">The outcome is floor raising at population scale. Every member family operates from a floor that cannot be drawn below regardless of specific circumstance. The floor rises as the architecture's substance grows across decades. Population-wide economic security combined with population-wide economic capacity for the regional population broadly rather than concentrated in elite minority. The vision is Luxembourg-equivalent prosperity for Appalachia at the multi-generational horizon.</w:t>
      </w:r>
    </w:p>
    <w:p>
      <w:pPr>
        <w:spacing w:after="180" w:line="320"/>
      </w:pPr>
      <w:r>
        <w:t xml:space="preserve">Every structural element of the architecture serves this purpose. The cooperative legal entity. The producer cooperative member program. The worker progression structure. The Christian business cluster. The four material verticals. The healthcare infrastructure. The mission framework. The capital infrastructure including fund, token, credit union, self-insurance, and whole life mechanisms. The platform replication architecture. The founding board and governance. The bounded founder family position. The wise as serpents and harmless as doves discipline. The multi-generational horizon.</w:t>
      </w:r>
    </w:p>
    <w:p>
      <w:pPr>
        <w:pStyle w:val="Heading1"/>
        <w:pageBreakBefore/>
        <w:spacing w:after="240" w:before="240"/>
      </w:pPr>
      <w:r>
        <w:t xml:space="preserve">The Lighthouse Framing</w:t>
      </w:r>
    </w:p>
    <w:p>
      <w:pPr>
        <w:spacing w:after="180" w:line="320"/>
      </w:pPr>
      <w:r>
        <w:t xml:space="preserve">Lighthouse is the asset manager category identity. Same tools as commercial asset managers operating at scale. Opposite purpose serving member family wealth and broader community substance rather than corporate shareholder return.</w:t>
      </w:r>
    </w:p>
    <w:p>
      <w:pPr>
        <w:spacing w:after="180" w:line="320"/>
      </w:pPr>
      <w:r>
        <w:t xml:space="preserve">BlackRock is the world's largest asset manager. Approximately ten trillion dollars in assets under management. The firm operates substantial sophistication across pooled investment vehicles, ETFs, mutual funds, alternative investments, and broader institutional asset management. The firm's substantial scale produces substantial efficiencies in capital deployment, portfolio management, risk management, and operational infrastructure. The firm captures substantial fees from the assets under management. The fees aggregate to billions of dollars annually flowing to BlackRock shareholders and employees. The firm exists because pooled asset management at scale produces substantially better outcomes than fragmentary individual asset management produces.</w:t>
      </w:r>
    </w:p>
    <w:p>
      <w:pPr>
        <w:spacing w:after="180" w:line="320"/>
      </w:pPr>
      <w:r>
        <w:t xml:space="preserve">The firm's purpose serves shareholder return maximization. The fees extracted from client assets flow to corporate profit. The investment decisions optimize for client return inside the constraint of fee extraction supporting corporate operations. The firm's substantial influence over global capital markets serves corporate purposes alongside client purposes.</w:t>
      </w:r>
    </w:p>
    <w:p>
      <w:pPr>
        <w:spacing w:after="180" w:line="320"/>
      </w:pPr>
      <w:r>
        <w:t xml:space="preserve">Lighthouse operates with the same tools at the same scale efficiency. Pooled investment vehicles. Professional asset management. Substantial sophistication. Operational infrastructure. The pooling produces substantial efficiencies that individual fragmentary asset management cannot produce.</w:t>
      </w:r>
    </w:p>
    <w:p>
      <w:pPr>
        <w:spacing w:after="180" w:line="320"/>
      </w:pPr>
      <w:r>
        <w:t xml:space="preserve">Lighthouse operates with opposite purpose. The pooled assets serve member family wealth accumulation and broader community substance rather than shareholder return maximization. The fee structure operates at minimal cost basis serving cooperative operations rather than at substantial extraction supporting corporate profit. The investment decisions optimize for member family multi-generational wealth across decades rather than for short-term return metrics that financial markets reward. The substantial influence over capital deployment serves cooperative regional purposes rather than corporate growth objectives.</w:t>
      </w:r>
    </w:p>
    <w:p>
      <w:pPr>
        <w:spacing w:after="180" w:line="320"/>
      </w:pPr>
      <w:r>
        <w:t xml:space="preserve">Asset management is the scaling mechanism for broader architectural deployment rather than the architecture's terminal purpose. Asset management at scale produces capital and institutional positioning that scales architectural deployment across the broader region. Capital flows to architectural purposes including Christian business cluster expansion, healthcare infrastructure expansion, producer cooperative member program scaling, platform replication, regional resource control acquisition, and broader regional footprint development. Institutional positioning supports architectural engagement across substantial regional fabric. Both the capital and the positioning serve architectural purposes rather than serving asset management as terminal commercial purpose.</w:t>
      </w:r>
    </w:p>
    <w:p>
      <w:pPr>
        <w:spacing w:after="180" w:line="320"/>
      </w:pPr>
      <w:r>
        <w:t xml:space="preserve">The architecture is regional development institution operating asset management as one specific mechanism supporting broader regional deployment. The category distinction matters substantially for institutional engagement, regulatory engagement, capital sources, competitive positioning, and broader strategic operations. The architecture is not specifically agricultural cooperative. The architecture is not specifically regional development authority operating in traditional pattern. The architecture is not specifically Christian community institution operating in traditional pattern. The architecture is regional development institution serving Christian community across denominational lines through cooperative ownership structure with asset management mechanism producing scaling capital and institutional positioning.</w:t>
      </w:r>
    </w:p>
    <w:p>
      <w:pPr>
        <w:pStyle w:val="Heading1"/>
        <w:pageBreakBefore/>
        <w:spacing w:after="240" w:before="240"/>
      </w:pPr>
      <w:r>
        <w:t xml:space="preserve">Strategic Phasing</w:t>
      </w:r>
    </w:p>
    <w:p>
      <w:pPr>
        <w:spacing w:after="180" w:line="320"/>
      </w:pPr>
      <w:r>
        <w:t xml:space="preserve">The architecture deploys across four phases extending from foundation cell launch through multi-generational regional transformation. Each phase builds on the previous phase. Each phase serves the broader purpose of wealth management for the 99 percent through floor raising at population scale.</w:t>
      </w:r>
    </w:p>
    <w:p>
      <w:pPr>
        <w:pStyle w:val="Heading2"/>
        <w:spacing w:after="160" w:before="280"/>
      </w:pPr>
      <w:r>
        <w:t xml:space="preserve">Phase One: The Fund and Foundation Cell</w:t>
      </w:r>
    </w:p>
    <w:p>
      <w:pPr>
        <w:spacing w:after="180" w:line="320"/>
      </w:pPr>
      <w:r>
        <w:t xml:space="preserve">Phase one operates from foundation cell launch through approximately year seven. Phase one focuses on the fund deployment and on the cooperative initiative the fund supports.</w:t>
      </w:r>
    </w:p>
    <w:p>
      <w:pPr>
        <w:spacing w:after="180" w:line="320"/>
      </w:pPr>
      <w:r>
        <w:t xml:space="preserve">The fund mechanism through the JDA operates as foundational capital infrastructure. Counties pool idle cash into professionally managed Treasury investment portfolio designed by Regions Bank. Twenty million dollar target across four counties. Catoosa contributes seven million dollars from Hutcheson Hospital sale proceeds. Walker contributes seven million dollars through direct ask. Dade contributes three million dollars through Bank of Dade. Chattooga contributes three million dollars through SouthEast Bank. The fund operates inside Georgia public finance law with full compliance. The fund earns two percent service charge on cash flow supporting cooperative initiative working capital.</w:t>
      </w:r>
    </w:p>
    <w:p>
      <w:pPr>
        <w:spacing w:after="180" w:line="320"/>
      </w:pPr>
      <w:r>
        <w:t xml:space="preserve">The cooperative initiative operates under JDA umbrella through phase one. The structure inherits JDA institutional standing. The structure reorganizes into independent cooperative once operations are figured out. The cooperative is tied to the fund during foundation period.</w:t>
      </w:r>
    </w:p>
    <w:p>
      <w:pPr>
        <w:spacing w:after="180" w:line="320"/>
      </w:pPr>
      <w:r>
        <w:t xml:space="preserve">The producer cooperative member program launches with initial pilot cohort of three to five mid-scale family farms. The package terms operate inside Subchapter T cooperative law. Working capital flows through fund mechanism with two percent service charge rather than through separate capital sourcing. Specific operational learning supports subsequent program scaling.</w:t>
      </w:r>
    </w:p>
    <w:p>
      <w:pPr>
        <w:spacing w:after="180" w:line="320"/>
      </w:pPr>
      <w:r>
        <w:t xml:space="preserve">The Christian business cluster begins limited initial deployment at two or three participating church facilities. Initial business operations including restaurant, daycare, and healthcare access points demonstrate model substance. Specific lease arrangements with participating churches produce ongoing church revenue while supporting cooperative operations.</w:t>
      </w:r>
    </w:p>
    <w:p>
      <w:pPr>
        <w:spacing w:after="180" w:line="320"/>
      </w:pPr>
      <w:r>
        <w:t xml:space="preserve">The institutional board base develops alongside fund deployment. Dalton Green serves as director on part-time contractor basis approximately sixty thousand to eighty-five thousand dollars annually while continuing GYFA State Secretary role. Brandon Wilson, Bernard Sims, Garrett Hurley, Pullen or his son, and Chapin form the broader institutional board base.</w:t>
      </w:r>
    </w:p>
    <w:p>
      <w:pPr>
        <w:spacing w:after="180" w:line="320"/>
      </w:pPr>
      <w:r>
        <w:t xml:space="preserve">Phase one is not pursuing TRS Georgia or University System of Georgia mandate engagement. Phase one is not pursuing asset management at substantial institutional scale. Phase one is not pursuing token mechanism deployment with external market exposure. Phase one is not pursuing substantial regional resource control acquisitions. Phase one is not pursuing multi-state platform deployment. Phase one is not pursuing the substantial wealth management for the 99 percent vision at population scale. Phase one is the fund and foundation cell. Specifically.</w:t>
      </w:r>
    </w:p>
    <w:p>
      <w:pPr>
        <w:spacing w:after="180" w:line="320"/>
      </w:pPr>
      <w:r>
        <w:t xml:space="preserve">Phase one total non-fund startup capital approximately one hundred twenty-five thousand to two hundred sixty thousand dollars for first year. The minimum to start discipline operates centrally during phase one. Reorganization happens once operations are figured out. Subsequent capital deployment scales as foundation cell substance supports it.</w:t>
      </w:r>
    </w:p>
    <w:p>
      <w:pPr>
        <w:pStyle w:val="Heading2"/>
        <w:spacing w:after="160" w:before="280"/>
      </w:pPr>
      <w:r>
        <w:t xml:space="preserve">Phase Two: Lighthouse Asset Manager Scaling</w:t>
      </w:r>
    </w:p>
    <w:p>
      <w:pPr>
        <w:spacing w:after="180" w:line="320"/>
      </w:pPr>
      <w:r>
        <w:t xml:space="preserve">Phase two operates approximately years seven through fifteen. Phase two scales architectural deployment substantially through institutional asset management mandate engagement.</w:t>
      </w:r>
    </w:p>
    <w:p>
      <w:pPr>
        <w:spacing w:after="180" w:line="320"/>
      </w:pPr>
      <w:r>
        <w:t xml:space="preserve">Teacher Retirement System of Georgia operates as primary phase two target. TRS Georgia holds approximately one hundred billion dollars in assets serving Georgia public school teachers and other public education employees. Substantial beneficiary population including approximately two hundred fifty thousand active members and approximately one hundred thirty thousand retired members and beneficiaries.</w:t>
      </w:r>
    </w:p>
    <w:p>
      <w:pPr>
        <w:spacing w:after="180" w:line="320"/>
      </w:pPr>
      <w:r>
        <w:t xml:space="preserve">University System of Georgia operates as parallel primary phase two target. The system operates substantial endowment assets, substantial pension assets, and substantial operational assets across twenty-six public colleges and universities. Aggregate endowment assets across the system run to several billion dollars.</w:t>
      </w:r>
    </w:p>
    <w:p>
      <w:pPr>
        <w:spacing w:after="180" w:line="320"/>
      </w:pPr>
      <w:r>
        <w:t xml:space="preserve">The architecture engages TRS Georgia and University System of Georgia from inside the beneficiary populations rather than from outside vendor positioning. Specific Lighthouse leadership operates as TRS Georgia members through their teaching or education employment. Cooperative engagement with substantial Georgia teacher and education worker population produces broader member coalition supporting structural change. Community investment, school investment, and state education policy investment during phase one produces substantive support for Georgia education population while building institutional positioning supporting subsequent mandate engagement.</w:t>
      </w:r>
    </w:p>
    <w:p>
      <w:pPr>
        <w:spacing w:after="180" w:line="320"/>
      </w:pPr>
      <w:r>
        <w:t xml:space="preserve">Mandate engagement begins at limited scale demonstrating operational capability. Initial mandates approximately one hundred million to five hundred million dollars in assets under management produce specific track record. Subsequent expansion operates as track record and institutional positioning support broader engagement.</w:t>
      </w:r>
    </w:p>
    <w:p>
      <w:pPr>
        <w:spacing w:after="180" w:line="320"/>
      </w:pPr>
      <w:r>
        <w:t xml:space="preserve">Phase two also expands cooperative deployment substantially. Producer cooperative member program scales from initial pilot cohort to substantial regional presence. Christian business cluster expands across substantial participating church network. Healthcare infrastructure deploys at scale. Self-insurance launches with limited initial scope and expands to additional lines. Credit union receives charter and begins operations. Member equity account architecture deploys with floor protection, accumulation through participation, and borrowing against balance.</w:t>
      </w:r>
    </w:p>
    <w:p>
      <w:pPr>
        <w:spacing w:after="180" w:line="320"/>
      </w:pPr>
      <w:r>
        <w:t xml:space="preserve">Phase two also begins specific platform replication preparation. Initial seeding targets including North Alabama, North Georgia beyond foundation cell service area, Chattanooga, and Dalton receive specific architectural engagement supporting subsequent cell development as tithe accumulation supports it.</w:t>
      </w:r>
    </w:p>
    <w:p>
      <w:pPr>
        <w:pStyle w:val="Heading2"/>
        <w:spacing w:after="160" w:before="280"/>
      </w:pPr>
      <w:r>
        <w:t xml:space="preserve">Phase Three: Multi-State Extension</w:t>
      </w:r>
    </w:p>
    <w:p>
      <w:pPr>
        <w:spacing w:after="180" w:line="320"/>
      </w:pPr>
      <w:r>
        <w:t xml:space="preserve">Phase three operates approximately years fifteen through twenty-five. Phase three extends the architecture across the broader Appalachian region.</w:t>
      </w:r>
    </w:p>
    <w:p>
      <w:pPr>
        <w:spacing w:after="180" w:line="320"/>
      </w:pPr>
      <w:r>
        <w:t xml:space="preserve">Subsequent regional cells deploy across the broader region using platform pattern. Cells operate inside platform commitments while developing locally appropriate operational substance. Foundation cell tithe and broader architectural capital infrastructure support subsequent cell deployment.</w:t>
      </w:r>
    </w:p>
    <w:p>
      <w:pPr>
        <w:spacing w:after="180" w:line="320"/>
      </w:pPr>
      <w:r>
        <w:t xml:space="preserve">Multi-state mandate engagement scales asset management substantially. Teacher retirement systems and university systems across Alabama, Tennessee, North Carolina, Virginia, Kentucky, West Virginia, and Pennsylvania operate as subsequent mandate targets. The Georgia engagement during phase two operates as proof of concept supporting subsequent multi-state engagement.</w:t>
      </w:r>
    </w:p>
    <w:p>
      <w:pPr>
        <w:spacing w:after="180" w:line="320"/>
      </w:pPr>
      <w:r>
        <w:t xml:space="preserve">Regional resource control acquisitions begin operating at substantial scale. Manufacturing recovery including Mount Vernon class acquisitions where vertical integration cotton field to finished products recovers substantial regional industrial substance. Land of historical, natural, or mineral value receives priority within broader land acquisition framework. Substantial farmland acquisition extends across the broader region supporting cooperative agricultural substance and supporting token backing through productive asset growth.</w:t>
      </w:r>
    </w:p>
    <w:p>
      <w:pPr>
        <w:spacing w:after="180" w:line="320"/>
      </w:pPr>
      <w:r>
        <w:t xml:space="preserve">Federal level engagement begins as architectural reputation and institutional positioning support engagement. Federal pension mandates. Federal land programs. Specific federal regulatory engagement supporting broader regional development.</w:t>
      </w:r>
    </w:p>
    <w:p>
      <w:pPr>
        <w:pStyle w:val="Heading2"/>
        <w:spacing w:after="160" w:before="280"/>
      </w:pPr>
      <w:r>
        <w:t xml:space="preserve">Phase Four: Multi-Generational Deployment</w:t>
      </w:r>
    </w:p>
    <w:p>
      <w:pPr>
        <w:spacing w:after="180" w:line="320"/>
      </w:pPr>
      <w:r>
        <w:t xml:space="preserve">Phase four operates years twenty-five and beyond across decades and generations. Phase four produces substantial regional transformation at scale that approaches Luxembourg-equivalent prosperity vision.</w:t>
      </w:r>
    </w:p>
    <w:p>
      <w:pPr>
        <w:spacing w:after="180" w:line="320"/>
      </w:pPr>
      <w:r>
        <w:t xml:space="preserve">The aggregate cooperative architecture operates across the broader Appalachian region serving approximately twenty-five million people across multiple states. Regional resource control extends substantially across coal, timber, mining, natural gas, water, land at scale, cultural property, tourism, and manufacturing recovery. Asset management mandate engagement operates at substantial scale supporting comprehensive architectural deployment. Member equity account architecture operates across substantial regional population producing multi-generational wealth accumulation at scale that approaches what wealthy families have accumulated through similar mechanisms.</w:t>
      </w:r>
    </w:p>
    <w:p>
      <w:pPr>
        <w:spacing w:after="180" w:line="320"/>
      </w:pPr>
      <w:r>
        <w:t xml:space="preserve">Platform replication continues across decades supporting continued regional deployment and eventual extension beyond the Appalachian region as platform substance and operational capacity support broader extension. The done state operates when the architecture delivers substantial protective infrastructure across the broader regional footprint and operates self-sustainably across multi-generational horizon without requiring continued founder capital injection.</w:t>
      </w:r>
    </w:p>
    <w:p>
      <w:pPr>
        <w:pStyle w:val="Heading1"/>
        <w:pageBreakBefore/>
        <w:spacing w:after="240" w:before="240"/>
      </w:pPr>
      <w:r>
        <w:t xml:space="preserve">Theological Foundation</w:t>
      </w:r>
    </w:p>
    <w:p>
      <w:pPr>
        <w:spacing w:after="180" w:line="320"/>
      </w:pPr>
      <w:r>
        <w:t xml:space="preserve">The architecture operates inside specific Christian theological tradition rather than as innovation. The foundation is the confession that Jesus is the Son of the Living God. This confession governs participation in the mission framework, the broader institutional engagement, and the structural commitments that the architecture maintains across the multi-generational horizon.</w:t>
      </w:r>
    </w:p>
    <w:p>
      <w:pPr>
        <w:spacing w:after="180" w:line="320"/>
      </w:pPr>
      <w:r>
        <w:t xml:space="preserve">The biblical pattern includes substantial wisdom about prosperity for God's people that operates broadly rather than concentrating among elite. Jubilee. Sabbath economics. Gleaning provisions. The various Old Testament economic structures that produce broad sufficiency. The architecture's wealth management for the 99 percent purpose operates inside this biblical pattern. The architecture does not operate as innovation against tradition. The architecture operates as recovery of structural patterns that biblical tradition has carried across millennia.</w:t>
      </w:r>
    </w:p>
    <w:p>
      <w:pPr>
        <w:spacing w:after="180" w:line="320"/>
      </w:pPr>
      <w:r>
        <w:t xml:space="preserve">The foundational instruction comes from Matthew 10:16. Jesus sending out the twelve. Behold, I send you out as sheep in the midst of wolves. Be wise as serpents and harmless as doves. The instruction names the operational discipline that the architecture maintains. Strategic sophistication about how the world actually operates combined with operational integrity that does not become what the architecture is sent to address.</w:t>
      </w:r>
    </w:p>
    <w:p>
      <w:pPr>
        <w:spacing w:after="180" w:line="320"/>
      </w:pPr>
      <w:r>
        <w:t xml:space="preserve">The ecclesiology operates from Matthew 18:20. Where two or more are gathered in His name. The architecture serves Christian community across denominational lines rather than serving any specific denominational claim to remnant church status. The architecture's mission framework engages churches that confess Jesus is Son of the Living God regardless of broader denominational variation. The architecture operates as cross-denominational connective infrastructure that strengthens specific churches and specific traditions while connecting them in shared institutional fabric.</w:t>
      </w:r>
    </w:p>
    <w:p>
      <w:pPr>
        <w:spacing w:after="180" w:line="320"/>
      </w:pPr>
      <w:r>
        <w:t xml:space="preserve">Scripture operates as external authority for the architecture's structural commitments. The World English Bible serves as the human interface layer. The Westminster Leningrad Codex (Hebrew) and Robinson-Pierpont Byzantine Majority Text (Greek) operate as internal authority sources. Scripture replaces self-referential consensus in governance and alignment frameworks. The architecture's structural integrity depends on this external anchor rather than on internal agreement that may drift across generations.</w:t>
      </w:r>
    </w:p>
    <w:p>
      <w:pPr>
        <w:pStyle w:val="Heading1"/>
        <w:pageBreakBefore/>
        <w:spacing w:after="240" w:before="240"/>
      </w:pPr>
      <w:r>
        <w:t xml:space="preserve">The Antivirus Framing</w:t>
      </w:r>
    </w:p>
    <w:p>
      <w:pPr>
        <w:spacing w:after="180" w:line="320"/>
      </w:pPr>
      <w:r>
        <w:t xml:space="preserve">The architecture operates inside specific hostile territory. The corporate economic system that has hollowed out regional Christian community across generations is the wolf. The cultural patterns pressuring family farms toward corporate dependency are the wolf. The systemic extraction operating across food, healthcare, construction, banking, insurance, education, and broader life infrastructure is the wolf. The pattern of regional resource extraction flowing wealth from Appalachia to corporate centers across generations is the wolf.</w:t>
      </w:r>
    </w:p>
    <w:p>
      <w:pPr>
        <w:spacing w:after="180" w:line="320"/>
      </w:pPr>
      <w:r>
        <w:t xml:space="preserve">The architecture as antivirus operates inside this hostile territory rather than outside it. The architecture does not retreat to isolated parallel community while the corporate system continues operating. The architecture engages the corporate system at the level of regional substance, capturing market position through superior member service, cutting middleman extraction across multiple industries, and producing structural alternatives that deliver substantially better outcomes for regional population than corporate alternatives produce.</w:t>
      </w:r>
    </w:p>
    <w:p>
      <w:pPr>
        <w:spacing w:after="180" w:line="320"/>
      </w:pPr>
      <w:r>
        <w:t xml:space="preserve">The antivirus operates without becoming the wolf. The architecture does not extract from members the way corporate systems extract. The architecture does not deceive members about how operations work. The architecture does not capture members as customer base for narrow benefit. The architecture does not maximize founder family wealth accumulation. The structural commitments preserve the architecture as something different from what it is sent to address rather than allowing the architecture to become what it is addressing.</w:t>
      </w:r>
    </w:p>
    <w:p>
      <w:pPr>
        <w:pStyle w:val="Heading1"/>
        <w:pageBreakBefore/>
        <w:spacing w:after="240" w:before="240"/>
      </w:pPr>
      <w:r>
        <w:t xml:space="preserve">The TVA Framing: Infrastructure Provider</w:t>
      </w:r>
    </w:p>
    <w:p>
      <w:pPr>
        <w:spacing w:after="180" w:line="320"/>
      </w:pPr>
      <w:r>
        <w:t xml:space="preserve">The cooperative is foundational infrastructure that regional industry operates inside, not the direct operator of expansive multi-industry operations across many categories.</w:t>
      </w:r>
    </w:p>
    <w:p>
      <w:pPr>
        <w:spacing w:after="180" w:line="320"/>
      </w:pPr>
      <w:r>
        <w:t xml:space="preserve">The cooperative provides specific infrastructure. Patient capital through the fund mechanism. Workforce through the worker progression structure. Operational space through participating church facility relationships and through specific concentrated facilities. Markets through cooperative member networks. Financial services through cooperative banking, self-insurance, and credit union operations. Legal services through cooperative legal counsel that extends to member service. Healthcare access through cooperative healthcare infrastructure. Each element operates as infrastructure that regional industry uses rather than as industry the cooperative directly operates across many categories.</w:t>
      </w:r>
    </w:p>
    <w:p>
      <w:pPr>
        <w:spacing w:after="180" w:line="320"/>
      </w:pPr>
      <w:r>
        <w:t xml:space="preserve">Regional industry operates inside cooperative infrastructure with substantial regional ownership rather than corporate ownership. Producer cooperative members operate their own farms inside cooperative infrastructure. Christian business cluster operators run their own businesses inside cooperative infrastructure. Manufacturing operations including the four material verticals and eventual textile and broader manufacturing recovery operate as integrated regional industry inside cooperative infrastructure. The cooperative does not own each operation directly. Members own substantial portions of operations that operate inside cooperative infrastructure.</w:t>
      </w:r>
    </w:p>
    <w:p>
      <w:pPr>
        <w:spacing w:after="180" w:line="320"/>
      </w:pPr>
      <w:r>
        <w:t xml:space="preserve">The cooperative captures fees and operational margins for infrastructure access. The fund earns service charges on capital deployment. The cooperative earns operational margins on services provided through member relationships. The cooperative captures patronage flow through its substantial transaction volume. The aggregate capture supports continued cooperative operation that supports continued infrastructure provision that supports continued regional industry development.</w:t>
      </w:r>
    </w:p>
    <w:p>
      <w:pPr>
        <w:spacing w:after="180" w:line="320"/>
      </w:pPr>
      <w:r>
        <w:t xml:space="preserve">The infrastructure provider framing produces broader floor raising. Many member families operate businesses inside cooperative infrastructure. Each operates with their own capacity and substance. The aggregate effect raises floors across many member families rather than concentrating success or failure in cooperative direct operations across narrow industry categories.</w:t>
      </w:r>
    </w:p>
    <w:p>
      <w:pPr>
        <w:pStyle w:val="Heading1"/>
        <w:pageBreakBefore/>
        <w:spacing w:after="240" w:before="240"/>
      </w:pPr>
      <w:r>
        <w:t xml:space="preserve">The Disintermediation Purpose</w:t>
      </w:r>
    </w:p>
    <w:p>
      <w:pPr>
        <w:spacing w:after="180" w:line="320"/>
      </w:pPr>
      <w:r>
        <w:t xml:space="preserve">The architecture cuts middleman extraction across multiple industries simultaneously. This is the cooperative's distinctive economic function and the source of substantial capital that flows to floor raising rather than to corporate extraction.</w:t>
      </w:r>
    </w:p>
    <w:p>
      <w:pPr>
        <w:spacing w:after="180" w:line="320"/>
      </w:pPr>
      <w:r>
        <w:t xml:space="preserve">The pattern operates across food, where producer cooperative members sell directly to cooperative distribution that serves member families and regional markets without industrial food processing extraction. Across construction, where the four material verticals integrate with regional builders and architecture-supported construction at cost basis pricing rather than commercial supply chain markups. Across healthcare, where cooperative healthcare infrastructure serves members directly without insurance company administrative extraction. Across banking, where cooperative credit union operations serve members directly without commercial banking spread extraction. Across education, where cooperative educational operations and CTAE pipeline integration serve members directly without commercial education service provider extraction. Across athletic training, where FCA partnership and cooperative athletic operations serve members directly. Across childcare, where cooperative daycare operations through participating church facilities serve members directly. Across manufacturing, where cooperative-supported manufacturing operations serve regional markets directly without globalized supply chain extraction. Across auto ownership, where cooperative used car infrastructure cuts dealer markup, financing extraction, insurance extraction, and maintenance extraction across the auto ownership life cycle.</w:t>
      </w:r>
    </w:p>
    <w:p>
      <w:pPr>
        <w:spacing w:after="180" w:line="320"/>
      </w:pPr>
      <w:r>
        <w:t xml:space="preserve">The cumulative cut middleman extraction across multiple industries across decades produces substantial capital that flows to floor raising rather than to corporate extraction. The architecture's success operates at the scale of how much extraction it cuts and how much that captured value supports the broader floor raising purpose.</w:t>
      </w:r>
    </w:p>
    <w:p>
      <w:pPr>
        <w:spacing w:after="180" w:line="320"/>
      </w:pPr>
      <w:r>
        <w:t xml:space="preserve">The disintermediation operates inside legitimate frameworks rather than at frameworks' edges. The cooperative legal structure operates inside Subchapter T cooperative tax framework. The producer cooperative member contracts operate inside specific contract law and agricultural cooperative frameworks. The Christian business cluster operates inside specific landlord-tenant relationships with participating churches and inside specific small business operational frameworks. The healthcare operations operate inside specific healthcare regulatory frameworks. The banking operations operate inside credit union regulatory framework. Each element operates inside legitimate framework while accomplishing the disintermediation purpose.</w:t>
      </w:r>
    </w:p>
    <w:p>
      <w:pPr>
        <w:pStyle w:val="Heading1"/>
        <w:pageBreakBefore/>
        <w:spacing w:after="240" w:before="240"/>
      </w:pPr>
      <w:r>
        <w:t xml:space="preserve">Regional Resource Control</w:t>
      </w:r>
    </w:p>
    <w:p>
      <w:pPr>
        <w:spacing w:after="180" w:line="320"/>
      </w:pPr>
      <w:r>
        <w:t xml:space="preserve">Appalachia has been systematically stripped of natural resource wealth across more than a century. Coal extracted at enormous scale with the wealth flowing to corporate centers. Timber harvested at enormous scale with similar extraction patterns. Natural gas extracted with royalties operating at fractional rates compared to what other regions receive. Mineral wealth extracted under leases that captured tiny fractions of actual value for local landowners. Water resources increasingly extracted for downstream and out-of-region use without regional benefit.</w:t>
      </w:r>
    </w:p>
    <w:p>
      <w:pPr>
        <w:spacing w:after="180" w:line="320"/>
      </w:pPr>
      <w:r>
        <w:t xml:space="preserve">The architecture's purpose includes systematic gain of regional control over resource extraction rather than allowing continued corporate extraction patterns to operate. Regional control plus monetization for regional benefit produces wealth accumulation at the scale that supports Luxembourg-equivalent prosperity across decades. Control without monetization produces conservation but not prosperity. Monetization without regional control produces extraction. The combination operates inside the broader architectural purpose of floor raising at population scale.</w:t>
      </w:r>
    </w:p>
    <w:p>
      <w:pPr>
        <w:spacing w:after="180" w:line="320"/>
      </w:pPr>
      <w:r>
        <w:t xml:space="preserve">Specific resource categories receive priority across phases. Coal and energy infrastructure including coal-related land holdings and energy generation infrastructure. Timber and forest operations including substantial timber resources and existing forest business operations like Pullen's Dade County operations. Mining operations including stone through Tom's Sand Mountain quarry, copper through Ducktown adjacent operations, marble through Pickens County, and emerging mining operations including rare earth minerals and lithium and other battery materials emerging in regional geology. Natural gas operations through specific royalty arrangements producing regional capital flow. Water resources supporting regional needs while monetizing for regional benefit when external demand is appropriate. Land at scale including land of historical, natural, or mineral value. Cultural and intellectual property including Appalachian musical, traditional, and broader cultural heritage. Tourism and hospitality including substantial regional tourism infrastructure. Manufacturing recovery including Mount Vernon Mills with Trion plant in Chattooga County and similar regional industrial recovery.</w:t>
      </w:r>
    </w:p>
    <w:p>
      <w:pPr>
        <w:spacing w:after="180" w:line="320"/>
      </w:pPr>
      <w:r>
        <w:t xml:space="preserve">The acquisition strategy operates across decades through specific phases. Phase one operates inside JDA fund mechanism supporting initial regional development capital deployment. Phase two operates through asset management mandate engagement supporting substantial capital deployment for regional resource acquisitions. Phase three extends substantial acquisitions across the broader Appalachian region. Phase four produces substantial regional resource control supporting Luxembourg-equivalent prosperity vision.</w:t>
      </w:r>
    </w:p>
    <w:p>
      <w:pPr>
        <w:pStyle w:val="Heading1"/>
        <w:pageBreakBefore/>
        <w:spacing w:after="240" w:before="240"/>
      </w:pPr>
      <w:r>
        <w:t xml:space="preserve">Luxembourg-Equivalent Prosperity</w:t>
      </w:r>
    </w:p>
    <w:p>
      <w:pPr>
        <w:spacing w:after="180" w:line="320"/>
      </w:pPr>
      <w:r>
        <w:t xml:space="preserve">The architecture's eventual scale produces prosperity for the Appalachian population at the standard the world's most prosperous regions have achieved. Luxembourg's prosperity provides the comparison. Population approximately 670,000. GDP per capita over 130,000 dollars among the highest in the world. Comprehensive social infrastructure. High quality healthcare, education, public services. Strong financial sector. Diversified economy. Multilingual cultural sophistication. Long political stability. Citizens experience substantial economic security and substantial economic capacity simultaneously across the broad population rather than concentrated in elite minority.</w:t>
      </w:r>
    </w:p>
    <w:p>
      <w:pPr>
        <w:spacing w:after="180" w:line="320"/>
      </w:pPr>
      <w:r>
        <w:t xml:space="preserve">The architecture aims at equivalent prosperity for the Appalachian population. Approximately 25 million people across north Georgia, north Alabama, eastern Tennessee, western North Carolina, southwest Virginia, eastern Kentucky, southern West Virginia, and western Pennsylvania. The transformation operates across decades and generations rather than across years. Foundation cell deployment launches the work. Subsequent regional cells extend the work. Multi-generational sustained execution produces the broader regional transformation.</w:t>
      </w:r>
    </w:p>
    <w:p>
      <w:pPr>
        <w:spacing w:after="180" w:line="320"/>
      </w:pPr>
      <w:r>
        <w:t xml:space="preserve">The transformation operates inside specific structural mechanisms. Comprehensive member institution model produces broad regional economic security. Regional resource control produces substantial regional capital base. Manufacturing recovery produces substantial regional industrial substance. Disintermediation produces substantial captured value flowing to floor raising. Cross-denominational connective infrastructure produces substantial regional cultural cohesion. Lighthouse asset management mandate engagement produces substantial scaling capital and institutional positioning. Member equity account architecture produces multi-generational wealth accumulation at population scale. Each mechanism contributes. The aggregate produces Luxembourg-equivalent prosperity.</w:t>
      </w:r>
    </w:p>
    <w:p>
      <w:pPr>
        <w:spacing w:after="180" w:line="320"/>
      </w:pPr>
      <w:r>
        <w:t xml:space="preserve">The vision is appropriate to the calling and to the regional need. The Appalachian population has experienced substantial systemic harm across generations through extraction patterns, manufacturing displacement, agricultural consolidation, and cultural denigration. Producing transformation that delivers substantial prosperity for this population addresses real injustice through structural mechanisms rather than through political agitation alone. The work operates as biblical restoration at regional scale.</w:t>
      </w:r>
    </w:p>
    <w:p>
      <w:pPr>
        <w:pStyle w:val="Heading1"/>
        <w:pageBreakBefore/>
        <w:spacing w:after="240" w:before="240"/>
      </w:pPr>
      <w:r>
        <w:t xml:space="preserve">Cross-Denominational Connective Infrastructure</w:t>
      </w:r>
    </w:p>
    <w:p>
      <w:pPr>
        <w:spacing w:after="180" w:line="320"/>
      </w:pPr>
      <w:r>
        <w:t xml:space="preserve">The architecture operates as connective infrastructure across Christian denominational lines rather than as denomination itself or as platform serving any specific denominational claim to remnant church status. The infrastructure ties churches together through shared institutional fabric while preserving each church's specific denominational identity, practice, and tradition.</w:t>
      </w:r>
    </w:p>
    <w:p>
      <w:pPr>
        <w:spacing w:after="180" w:line="320"/>
      </w:pPr>
      <w:r>
        <w:t xml:space="preserve">The Matthew 18:20 ecclesiology grounds the framing. Where two or more are gathered in His name, Jesus is present. The architecture's mission framework engages churches that confess Jesus is Son of the Living God across the broader denominational fabric. Baptists. Methodists. Presbyterians. Pentecostals. Anglicans. Lutherans. Catholics where local engagement supports the framework. Orthodox where local engagement supports the framework. Specific denominational variation operates inside the framework rather than as obstacle to the framework.</w:t>
      </w:r>
    </w:p>
    <w:p>
      <w:pPr>
        <w:spacing w:after="180" w:line="320"/>
      </w:pPr>
      <w:r>
        <w:t xml:space="preserve">The architecture serves the broad Protestant majority that has not built comprehensive infrastructure for itself the way specific denominations have built such infrastructure. Adventists have built comprehensive member institution model with specific theological framework. Mormons have built comprehensive member institution model with specific theological framework. Catholics have built comprehensive institutional infrastructure with specific theological framework. Orthodox have built comprehensive institutional infrastructure with specific theological framework. The broader Protestant majority lacks equivalent comprehensive infrastructure operating across denominational lines. The architecture provides this infrastructure.</w:t>
      </w:r>
    </w:p>
    <w:p>
      <w:pPr>
        <w:spacing w:after="180" w:line="320"/>
      </w:pPr>
      <w:r>
        <w:t xml:space="preserve">The framing recognizes the strengths in different traditions. The mission mindset of Mormons. The thoughtfulness of Adventists. The intellectual depth of Catholics. The structural alignment of Orthodox. Each tradition contributes wisdom that the broader Christian community benefits from. The architecture does not claim superiority over these traditions. The architecture provides connective infrastructure for the broader Christian community that has not yet built equivalent comprehensive structure for itself.</w:t>
      </w:r>
    </w:p>
    <w:p>
      <w:pPr>
        <w:spacing w:after="180" w:line="320"/>
      </w:pPr>
      <w:r>
        <w:t xml:space="preserve">Each church operating inside the mission framework maintains complete denominational autonomy. The architecture provides infrastructure. The church operates its own theological identity, worship practice, polity, sacramental life, and broader denominational engagement. The architecture's confession requirement (Jesus is Son of the Living God) is the gateway. Specific denominational variation beyond this confession operates inside whatever each church carries as its own tradition.</w:t>
      </w:r>
    </w:p>
    <w:p>
      <w:pPr>
        <w:pStyle w:val="Heading1"/>
        <w:pageBreakBefore/>
        <w:spacing w:after="240" w:before="240"/>
      </w:pPr>
      <w:r>
        <w:t xml:space="preserve">The Mission Framework</w:t>
      </w:r>
    </w:p>
    <w:p>
      <w:pPr>
        <w:spacing w:after="180" w:line="320"/>
      </w:pPr>
      <w:r>
        <w:t xml:space="preserve">The mission framework is the relational structure that ties participating churches to the broader cooperative architecture. Churches that confess Jesus is Son of the Living God may participate in the framework subject to specific operational alignment with the architecture's structural commitments.</w:t>
      </w:r>
    </w:p>
    <w:p>
      <w:pPr>
        <w:spacing w:after="180" w:line="320"/>
      </w:pPr>
      <w:r>
        <w:t xml:space="preserve">Participating churches receive specific benefits. Lease income from cooperative business cluster operations using church facilities. Operational integration with cooperative member institution model serving church congregants. Coordinated regional engagement across multiple churches supporting broader regional Christian community. Support for church infrastructure including facility maintenance, lawn care, nursery support, and broader operational support through cooperative worker availability.</w:t>
      </w:r>
    </w:p>
    <w:p>
      <w:pPr>
        <w:spacing w:after="180" w:line="320"/>
      </w:pPr>
      <w:r>
        <w:t xml:space="preserve">Participating churches contribute specific elements. Facility access for cooperative business cluster operations during weekdays under specific lease arrangements. Coordination with cooperative member relationship management for congregants who participate in cooperative operations. Engagement with broader regional cooperative architecture across the multi-generational horizon. Specific structural alignment with the architecture's broader commitments while preserving denominational autonomy.</w:t>
      </w:r>
    </w:p>
    <w:p>
      <w:pPr>
        <w:spacing w:after="180" w:line="320"/>
      </w:pPr>
      <w:r>
        <w:t xml:space="preserve">The framework operates inside specific structural protections that preserve church identity and institutional separation appropriately. The cooperative does not direct church theology, polity, worship, or sacramental practice. The church does not direct cooperative operational decisions. Each operates inside its specific institutional sphere while coordinating in shared infrastructure.</w:t>
      </w:r>
    </w:p>
    <w:p>
      <w:pPr>
        <w:pStyle w:val="Heading1"/>
        <w:pageBreakBefore/>
        <w:spacing w:after="240" w:before="240"/>
      </w:pPr>
      <w:r>
        <w:t xml:space="preserve">Comprehensive Member Institution Model</w:t>
      </w:r>
    </w:p>
    <w:p>
      <w:pPr>
        <w:spacing w:after="180" w:line="320"/>
      </w:pPr>
      <w:r>
        <w:t xml:space="preserve">The cooperative operates as comprehensive member institution serving member families across the full life rather than transactionally on specific services. Each member family enters covenant relationship with the architecture that provides comprehensive services across the family's life rather than transactional engagement on specific services.</w:t>
      </w:r>
    </w:p>
    <w:p>
      <w:pPr>
        <w:spacing w:after="180" w:line="320"/>
      </w:pPr>
      <w:r>
        <w:t xml:space="preserve">The aggregated services provide substantial life infrastructure. Food access through cooperative supply at member pricing. Healthcare through doctor, dentist, and veterinary services accessible at participating church facilities and at specific concentrated healthcare facilities. Housing through architecture-provided rental housing for workers and professionals plus construction support for member family building projects on member family land at cost basis pricing plus mortgage financing through the credit union. Insurance through cooperative self-insurance covering property, casualty, health, life, disability, crop, transition, auto, and workers compensation calibrated to actual risk rather than commercial pricing assumptions. Banking through credit union operations including deposits, lending, payments, and broader financial services. Legal services through cooperative legal counsel including estate planning, real estate, family law, tax planning, contract review, and broader legal needs. Worker progression and education through the four-stage worker progression structure plus CTAE pipeline integration. Mission framework participation through church engagement providing community life, religious education, fellowship, and the broader spiritual context of family life. End-of-life care through funeral benefit and broader end-of-life support. Auto ownership infrastructure through cooperative used car operations and credit union auto financing at substantially favorable terms compared to commercial alternatives.</w:t>
      </w:r>
    </w:p>
    <w:p>
      <w:pPr>
        <w:spacing w:after="180" w:line="320"/>
      </w:pPr>
      <w:r>
        <w:t xml:space="preserve">The aggregated infrastructure across these dimensions provides member families with comprehensive life infrastructure that no individual family could assemble independently and that no commercial alternative provides at member-favorable terms. The architecture is the member family's primary economic and institutional context across the family's life.</w:t>
      </w:r>
    </w:p>
    <w:p>
      <w:pPr>
        <w:spacing w:after="180" w:line="320"/>
      </w:pPr>
      <w:r>
        <w:t xml:space="preserve">The economic model captures comprehensive member family spending across multiple service categories rather than competing for transactional spending in any single category. A member family operating fully inside the architecture's services spends meaningfully through architecture services rather than through commercial competitors. The architecture aggregates this spending across member families and operates the services at scale that supports operations while serving members at substantially advantageous terms.</w:t>
      </w:r>
    </w:p>
    <w:p>
      <w:pPr>
        <w:spacing w:after="180" w:line="320"/>
      </w:pPr>
      <w:r>
        <w:t xml:space="preserve">The model produces broad floor raising through comprehensive cost reduction across multiple service categories. Healthcare savings. Food savings. Insurance savings. Banking savings. Legal services savings. Auto ownership savings. Each savings category supports family economic position. The aggregate cost reduction across all categories produces meaningful family disposable income that supports broader family economic development beyond what any single service category alone produces.</w:t>
      </w:r>
    </w:p>
    <w:p>
      <w:pPr>
        <w:pStyle w:val="Heading1"/>
        <w:pageBreakBefore/>
        <w:spacing w:after="240" w:before="240"/>
      </w:pPr>
      <w:r>
        <w:t xml:space="preserve">Member Equity Architecture</w:t>
      </w:r>
    </w:p>
    <w:p>
      <w:pPr>
        <w:spacing w:after="180" w:line="320"/>
      </w:pPr>
      <w:r>
        <w:t xml:space="preserve">The member equity architecture operates as the central mechanism through which the architecture brings the wealth-building tools wealthy families have operated for generations to working family members. The architecture extends specific tax-advantaged accumulation patterns, asset preservation patterns, and multi-generational wealth transfer patterns that have produced substantial wealth concentration to broad regional Christian community at population scale.</w:t>
      </w:r>
    </w:p>
    <w:p>
      <w:pPr>
        <w:spacing w:after="180" w:line="320"/>
      </w:pPr>
      <w:r>
        <w:t xml:space="preserve">The architecture deploys proven tools rather than novel mechanisms. Maximum value with minimum regulation. Maximum tax shelter through proven tools that everyone uses, deployed at cooperative scale to working families.</w:t>
      </w:r>
    </w:p>
    <w:p>
      <w:pPr>
        <w:pStyle w:val="Heading2"/>
        <w:spacing w:after="160" w:before="280"/>
      </w:pPr>
      <w:r>
        <w:t xml:space="preserve">The Equity Account Structure</w:t>
      </w:r>
    </w:p>
    <w:p>
      <w:pPr>
        <w:spacing w:after="180" w:line="320"/>
      </w:pPr>
      <w:r>
        <w:t xml:space="preserve">Each member family has an equity account in the cooperative. The account tracks accumulating equity from contributions, from patronage, from worker progression equity, and from the various sources that build member position in the architecture across time. The account holds tokens reflecting the family's cooperative member equity position.</w:t>
      </w:r>
    </w:p>
    <w:p>
      <w:pPr>
        <w:spacing w:after="180" w:line="320"/>
      </w:pPr>
      <w:r>
        <w:t xml:space="preserve">The token operates as cooperative member equity unit of account through digital ledger infrastructure. The token has substance backing through specific cooperative substance categories. Farmland holdings producing ongoing agricultural production revenue and continued land appreciation across decades. Treasury bills producing stable returns at low risk while preserving capital base. Gold eventually as historically stable store of value preserving capital across long timeframes. Manufacturing operations producing ongoing operational substance. Real estate producing rental income and appreciation. Resource control producing regional substance. Specific cooperative operational substance across all cooperative deployment.</w:t>
      </w:r>
    </w:p>
    <w:p>
      <w:pPr>
        <w:spacing w:after="180" w:line="320"/>
      </w:pPr>
      <w:r>
        <w:t xml:space="preserve">The combination of farmland, Treasury bills, gold, and broader cooperative substance produces diversified substantial substance backing the token across multiple asset categories. The token's value emerges from cooperative substance rather than from speculative promotion. The internal ledger function operates as primary purpose. External market exposure operates as secondary function only when strategic capital deployment requires it.</w:t>
      </w:r>
    </w:p>
    <w:p>
      <w:pPr>
        <w:pStyle w:val="Heading2"/>
        <w:spacing w:after="160" w:before="280"/>
      </w:pPr>
      <w:r>
        <w:t xml:space="preserve">The Floor</w:t>
      </w:r>
    </w:p>
    <w:p>
      <w:pPr>
        <w:spacing w:after="180" w:line="320"/>
      </w:pPr>
      <w:r>
        <w:t xml:space="preserve">Each member family has a floor balance in their equity account. The floor cannot be drawn below regardless of family circumstance. Successive generations of family members may make various life choices. The floor preserves family economic infrastructure regardless of specific generational circumstances.</w:t>
      </w:r>
    </w:p>
    <w:p>
      <w:pPr>
        <w:spacing w:after="180" w:line="320"/>
      </w:pPr>
      <w:r>
        <w:t xml:space="preserve">The floor operates as universal baseline rather than as specific allocation. Every member family receives the floor regardless of specific contribution variations. The floor establishes what cannot be lost. The architecture's purpose is to make this floor meaningful at scale that produces substantial broad prosperity.</w:t>
      </w:r>
    </w:p>
    <w:p>
      <w:pPr>
        <w:spacing w:after="180" w:line="320"/>
      </w:pPr>
      <w:r>
        <w:t xml:space="preserve">The floor amount scales with the architecture's success across decades. As the architecture produces substantial regional substance through resource control, manufacturing recovery, comprehensive operations, and accumulated capital base, the floor adjusts upward proportionally. Population-wide prosperity emerges through population-wide floor raising.</w:t>
      </w:r>
    </w:p>
    <w:p>
      <w:pPr>
        <w:spacing w:after="180" w:line="320"/>
      </w:pPr>
      <w:r>
        <w:t xml:space="preserve">The floor protects across specific failure modes. Bankruptcy protection. Divorce protection. Inheritance disputes protection. Creditor claims protection. The legal infrastructure for floor protection requires deliberate design that maintains protection across the multi-generational horizon.</w:t>
      </w:r>
    </w:p>
    <w:p>
      <w:pPr>
        <w:pStyle w:val="Heading2"/>
        <w:spacing w:after="160" w:before="280"/>
      </w:pPr>
      <w:r>
        <w:t xml:space="preserve">Borrowing Against Balance</w:t>
      </w:r>
    </w:p>
    <w:p>
      <w:pPr>
        <w:spacing w:after="180" w:line="320"/>
      </w:pPr>
      <w:r>
        <w:t xml:space="preserve">Members may borrow against their equity balance up to specific limits while preserving the floor. The borrowing produces flexibility for family operational needs without forcing the family to liquidate equity that operates as long-term security.</w:t>
      </w:r>
    </w:p>
    <w:p>
      <w:pPr>
        <w:spacing w:after="180" w:line="320"/>
      </w:pPr>
      <w:r>
        <w:t xml:space="preserve">Borrowing supports specific purposes. Land acquisition for family operations. Business investment for family economic development. Education for family members. Healthcare costs beyond what cooperative coverage provides. Vehicle purchases through cooperative auto infrastructure. Specific family circumstances that require capital deployment beyond regular member benefits. The borrowing produces capacity for substantial family economic development while maintaining the floor as foundational security.</w:t>
      </w:r>
    </w:p>
    <w:p>
      <w:pPr>
        <w:spacing w:after="180" w:line="320"/>
      </w:pPr>
      <w:r>
        <w:t xml:space="preserve">The borrowing operates inside the buy-and-borrow tax-efficient pattern that wealthy families have operated for generations. Members access value through borrowing against appreciated assets rather than through selling appreciated assets. Borrowing does not produce taxable events. The underlying assets continue appreciating. The pattern compounds across decades producing substantial tax-efficient wealth accumulation.</w:t>
      </w:r>
    </w:p>
    <w:p>
      <w:pPr>
        <w:spacing w:after="180" w:line="320"/>
      </w:pPr>
      <w:r>
        <w:t xml:space="preserve">At member death, the tokens transfer to heirs at the value at death rather than at original acquisition basis. The heirs receive the appreciated value without the historical capital gains tax obligation through stepped-up basis. The next generation operates with the appreciated balance and continues the borrowing pattern across their generation. The mechanism operates inside settled federal tax law that has been operated by wealthy families for generations.</w:t>
      </w:r>
    </w:p>
    <w:p>
      <w:pPr>
        <w:pStyle w:val="Heading2"/>
        <w:spacing w:after="160" w:before="280"/>
      </w:pPr>
      <w:r>
        <w:t xml:space="preserve">Tax-Advantaged Accumulation Through Proven Tools</w:t>
      </w:r>
    </w:p>
    <w:p>
      <w:pPr>
        <w:spacing w:after="180" w:line="320"/>
      </w:pPr>
      <w:r>
        <w:t xml:space="preserve">The architecture deploys proven tax-advantaged structures alongside cooperative member equity accounts at scale supporting working family member access.</w:t>
      </w:r>
    </w:p>
    <w:p>
      <w:pPr>
        <w:spacing w:after="180" w:line="320"/>
      </w:pPr>
      <w:r>
        <w:t xml:space="preserve">Members hold Roth IRAs at maximum contribution levels through cooperative-supported establishment and administration. Self-directed Roth IRAs hold cooperative member equity instruments where appropriate, supporting tax-free growth and tax-free retirement distribution at scale that traditional Roth IRAs holding publicly traded securities do not support.</w:t>
      </w:r>
    </w:p>
    <w:p>
      <w:pPr>
        <w:spacing w:after="180" w:line="320"/>
      </w:pPr>
      <w:r>
        <w:t xml:space="preserve">Workers participate in cooperative-sponsored Roth 401(k) at maximum contribution levels with cooperative match. Higher contribution limits than Roth IRA support substantial annual accumulation. Plan investments include cooperative member equity instruments where appropriate inside ERISA frameworks.</w:t>
      </w:r>
    </w:p>
    <w:p>
      <w:pPr>
        <w:spacing w:after="180" w:line="320"/>
      </w:pPr>
      <w:r>
        <w:t xml:space="preserve">Members hold Health Savings Accounts at maximum contribution levels through cooperative-supported high-deductible health plan structure. Triple tax advantage produces substantial tax-advantaged accumulation across decades. After age 65 HSAs operate similarly to traditional retirement accounts with HSA distribution flexibility.</w:t>
      </w:r>
    </w:p>
    <w:p>
      <w:pPr>
        <w:spacing w:after="180" w:line="320"/>
      </w:pPr>
      <w:r>
        <w:t xml:space="preserve">Member families establish 529 education savings plans for children through cooperative-supported establishment supporting tax-free education funding. Members hold whole life insurance policies on themselves through specific cooperative-supported infrastructure with members or member family as beneficiary. Cash value accumulates tax-deferred. Members borrow against cash value during life without taxable events. Death benefit transfers tax-free to family beneficiaries.</w:t>
      </w:r>
    </w:p>
    <w:p>
      <w:pPr>
        <w:spacing w:after="180" w:line="320"/>
      </w:pPr>
      <w:r>
        <w:t xml:space="preserve">Members acquire real estate through cooperative-supported financing at favorable terms producing rental income, depreciation deductions, and appreciation across decades. Members accumulate cooperative member equity through Subchapter T patronage allocation across cooperative operations. Each structure operates inside settled regulatory framework. The aggregate produces substantial multi-generational wealth accumulation at scale that approaches what wealthy families accumulate through similar combinations.</w:t>
      </w:r>
    </w:p>
    <w:p>
      <w:pPr>
        <w:spacing w:after="180" w:line="320"/>
      </w:pPr>
      <w:r>
        <w:t xml:space="preserve">The cooperative operates as enabling platform for member access to all these tools at scale and cost basis that individual access would not support. Cooperative legal counsel handles establishment and ongoing administration. Cooperative financial services support custody and operations. Cooperative member institution provides comprehensive engagement supporting member family operation across all structures simultaneously.</w:t>
      </w:r>
    </w:p>
    <w:p>
      <w:pPr>
        <w:pStyle w:val="Heading2"/>
        <w:spacing w:after="160" w:before="280"/>
      </w:pPr>
      <w:r>
        <w:t xml:space="preserve">Equity Accumulation Above the Floor</w:t>
      </w:r>
    </w:p>
    <w:p>
      <w:pPr>
        <w:spacing w:after="180" w:line="320"/>
      </w:pPr>
      <w:r>
        <w:t xml:space="preserve">Members accumulate equity above the floor through participation in cooperative operations. Producer cooperative member family contribution measured through production volume sold through cooperative distribution. Worker progression contribution measured through hours worked, role advancement through stages, cooperative-specific skill development, and formation participation. Member family economic activity through cooperative operations measured through purchases at cooperative restaurants, daycares, athletic operations, healthcare access, and broader services. Professional staff contribution measured through service provided to cooperative operations and member families. Capital contribution measured through specific capital investments members make beyond required member equity contributions.</w:t>
      </w:r>
    </w:p>
    <w:p>
      <w:pPr>
        <w:spacing w:after="180" w:line="320"/>
      </w:pPr>
      <w:r>
        <w:t xml:space="preserve">The covenant equity discipline operates through this architecture. The discipline prevents wealth concentration among narrow ownership. The floor establishes what each family receives as foundational. Accumulation above the floor reflects participation. The architecture's broader work raises floors broadly while accumulation above the floor produces substantial multi-generational wealth for participating member families. The structural mechanism aligns with the broader purpose.</w:t>
      </w:r>
    </w:p>
    <w:p>
      <w:pPr>
        <w:pStyle w:val="Heading1"/>
        <w:pageBreakBefore/>
        <w:spacing w:after="240" w:before="240"/>
      </w:pPr>
      <w:r>
        <w:t xml:space="preserve">The Producer Cooperative Member Program</w:t>
      </w:r>
    </w:p>
    <w:p>
      <w:pPr>
        <w:spacing w:after="180" w:line="320"/>
      </w:pPr>
      <w:r>
        <w:t xml:space="preserve">The producer cooperative member program is the architecture's central mechanism for producer engagement. The program serves mid-scale and large family farms that produce the majority of regional agricultural value, deliberately bypassing the small farm hobby segment that does not produce meaningful agricultural substance.</w:t>
      </w:r>
    </w:p>
    <w:p>
      <w:pPr>
        <w:spacing w:after="180" w:line="320"/>
      </w:pPr>
      <w:r>
        <w:t xml:space="preserve">Each producer cooperative member family receives the package. Set monthly draws against production rather than year-end cash flow uncertainty. Comprehensive benefits including health insurance, retirement contributions, and disability coverage. Transition insurance up to one million dollars per operation that protects the family across catastrophic loss scenarios. Primary customer commitment from the cooperative providing market certainty for the family's production. The package replaces farm income vulnerability with farm income stability while maintaining the family's land ownership and operational autonomy.</w:t>
      </w:r>
    </w:p>
    <w:p>
      <w:pPr>
        <w:spacing w:after="180" w:line="320"/>
      </w:pPr>
      <w:r>
        <w:t xml:space="preserve">The producer cooperative member family commits specific elements. Majority of production sold through cooperative distribution. Specific operational alignment with cooperative quality standards and cooperative operational practices. Member equity contribution at scale supporting cooperative operations. Engagement with broader cooperative member institution including healthcare, banking, insurance, and other services where the family chooses to participate.</w:t>
      </w:r>
    </w:p>
    <w:p>
      <w:pPr>
        <w:spacing w:after="180" w:line="320"/>
      </w:pPr>
      <w:r>
        <w:t xml:space="preserve">The program scales from initial pilot cohort of three to five families during phase one to substantial member base across decades. Phase one operational maturity produces approximately several hundred to one thousand producer cooperative member families across the four county service area. Phase two and beyond extends the program across the broader Appalachian region. Multi-generational deployment produces substantial regional producer cooperative member network.</w:t>
      </w:r>
    </w:p>
    <w:p>
      <w:pPr>
        <w:spacing w:after="180" w:line="320"/>
      </w:pPr>
      <w:r>
        <w:t xml:space="preserve">The strategic concentration on mid-scale and large family farms operates as deliberate choice. These farms produce majority of regional agricultural value. Corporate agriculture has systematically captured this segment through specific contractual structures that extract value from farming families while leaving them operationally vulnerable. The cooperative's package directly addresses what corporate contracts extract while providing substantially better operational outcomes for farming families.</w:t>
      </w:r>
    </w:p>
    <w:p>
      <w:pPr>
        <w:spacing w:after="180" w:line="320"/>
      </w:pPr>
      <w:r>
        <w:t xml:space="preserve">The fund mechanism advances working capital for monthly draws to producer cooperative members. The cooperative pays members from the advanced funds. As the cooperative collects revenue from member production sold through cooperative distribution, the cooperative repays the fund with two percent service charge on the cash flow. The mechanism eliminates separate working capital sourcing for the producer cooperative member program while operating at substantially lower cost basis than commercial agricultural lending alternatives.</w:t>
      </w:r>
    </w:p>
    <w:p>
      <w:pPr>
        <w:pStyle w:val="Heading1"/>
        <w:pageBreakBefore/>
        <w:spacing w:after="240" w:before="240"/>
      </w:pPr>
      <w:r>
        <w:t xml:space="preserve">Worker Progression Structure</w:t>
      </w:r>
    </w:p>
    <w:p>
      <w:pPr>
        <w:spacing w:after="180" w:line="320"/>
      </w:pPr>
      <w:r>
        <w:t xml:space="preserve">The worker progression structure provides a four-stage pathway from initial cooperative employment through eventual producer cooperative member ownership. The structure operates as workforce development infrastructure that creates pathways for regional families to enter and develop within agricultural and broader cooperative operations across generations.</w:t>
      </w:r>
    </w:p>
    <w:p>
      <w:pPr>
        <w:spacing w:after="180" w:line="320"/>
      </w:pPr>
      <w:r>
        <w:t xml:space="preserve">Stage one workers enter cooperative operations as employees with appropriate compensation, comprehensive benefits including healthcare and retirement contributions through cooperative-sponsored Roth 401(k), and specific worker formation supporting development across the broader cooperative pattern. Initial employment operates inside specific cooperative operational categories including production operations, processing operations, distribution operations, retail operations, healthcare support, construction operations, and broader cooperative service operations.</w:t>
      </w:r>
    </w:p>
    <w:p>
      <w:pPr>
        <w:spacing w:after="180" w:line="320"/>
      </w:pPr>
      <w:r>
        <w:t xml:space="preserve">Stage two workers progress to apprenticeship that combines specific skill development with formation in cooperative pattern. Apprenticeship operates across multiple specialized tracks including agricultural production, food processing, construction trades, healthcare support, business operations, and broader cooperative skill categories. CTAE pipeline integration supports apprenticeship development at the level appropriate to specific career trajectories.</w:t>
      </w:r>
    </w:p>
    <w:p>
      <w:pPr>
        <w:spacing w:after="180" w:line="320"/>
      </w:pPr>
      <w:r>
        <w:t xml:space="preserve">Stage three workers may progress to tenant farming on architecture-held land with cooperative support including equipment access, operational guidance, market access through cooperative distribution, and capital support. Tenant farming operates as transition stage where workers develop operational capacity and capital position while preserving the safety net of cooperative employment.</w:t>
      </w:r>
    </w:p>
    <w:p>
      <w:pPr>
        <w:spacing w:after="180" w:line="320"/>
      </w:pPr>
      <w:r>
        <w:t xml:space="preserve">Stage four workers may progress to producer cooperative member family status with their own land ownership and full participation in the producer cooperative member program. The progression operates across years with specific milestones supporting capital accumulation, operational capacity development, and land acquisition support. The architecture's broader land acquisition strategy includes specific land for transition to producer cooperative member ownership for workers progressing through the structure.</w:t>
      </w:r>
    </w:p>
    <w:p>
      <w:pPr>
        <w:spacing w:after="180" w:line="320"/>
      </w:pPr>
      <w:r>
        <w:t xml:space="preserve">Each stage operates with appropriate compensation, benefits, equity accumulation through cooperative member equity tokens, and broader member institution participation. Workers across all four stages participate in the comprehensive member institution model. The progression provides genuine pathway for workers to develop substantial economic position across decades through sustained cooperative engagement.</w:t>
      </w:r>
    </w:p>
    <w:p>
      <w:pPr>
        <w:pStyle w:val="Heading1"/>
        <w:pageBreakBefore/>
        <w:spacing w:after="240" w:before="240"/>
      </w:pPr>
      <w:r>
        <w:t xml:space="preserve">Christian Business Cluster Through Participating Church Facilities</w:t>
      </w:r>
    </w:p>
    <w:p>
      <w:pPr>
        <w:spacing w:after="180" w:line="320"/>
      </w:pPr>
      <w:r>
        <w:t xml:space="preserve">The architecture deploys Christian businesses across participating church facilities through specific lease relationships. The model operates distributed business operations across many participating church facilities rather than concentrating operations in singular facilities for functions that benefit from distributed deployment.</w:t>
      </w:r>
    </w:p>
    <w:p>
      <w:pPr>
        <w:spacing w:after="180" w:line="320"/>
      </w:pPr>
      <w:r>
        <w:t xml:space="preserve">The cluster includes specific business categories. Restaurants and ghost kitchens with cafeteria-style dining producing community gathering space where people sit and eat together rather than transactional fast food consumption. Daycares operating inside Christian community standards with educational substance. Athletic coaching and sports training through FCA partnership and broader athletic operations. Homeschool cooperatives supporting Christian families pursuing homeschool education with broader institutional support. Music and arts education developing children's specific gifts. Tutoring providing academic support across grade levels. Counseling providing mental health and family support. Healthcare clinics with doctors, dentists, and other professionals rotating across multiple participating church facilities one day per week per location. Wedding venues operating inside specific Christian wedding tradition. Senior care providing dignified support for aging members and broader community. Used car operations cutting middleman extraction across the auto ownership life cycle.</w:t>
      </w:r>
    </w:p>
    <w:p>
      <w:pPr>
        <w:spacing w:after="180" w:line="320"/>
      </w:pPr>
      <w:r>
        <w:t xml:space="preserve">The cooperative staffs operations and leases facility space from participating churches. The cooperative pays rent to participating churches as ongoing income to the church. The cooperative captures operational margin from each business operation. Members benefit from substantially reduced cost relative to commercial alternatives while accessing services across denominational lines through the cooperative platform.</w:t>
      </w:r>
    </w:p>
    <w:p>
      <w:pPr>
        <w:spacing w:after="180" w:line="320"/>
      </w:pPr>
      <w:r>
        <w:t xml:space="preserve">Workers in the worker progression structure handle participating church facility care including nursery support, cleaning, lawn care, and broader operational maintenance. The arrangement provides participating churches with operational support beyond just lease income while providing workers with employment across the participating church network.</w:t>
      </w:r>
    </w:p>
    <w:p>
      <w:pPr>
        <w:spacing w:after="180" w:line="320"/>
      </w:pPr>
      <w:r>
        <w:t xml:space="preserve">Specific licensing and credentialing supports specific operations. Educational credentials support daycare and homeschool cooperative operations. FCA partnership supports athletic coaching infrastructure. Professional credentialing supports healthcare operations. Each operation operates inside appropriate regulatory framework while accessing the broader cooperative infrastructure.</w:t>
      </w:r>
    </w:p>
    <w:p>
      <w:pPr>
        <w:spacing w:after="180" w:line="320"/>
      </w:pPr>
      <w:r>
        <w:t xml:space="preserve">Specific concentrated facilities support functions requiring concentration. Commercial food production at scale. Retail at scale serving regional markets beyond just member families. Regional headquarters supporting broader cooperative operations. The four material verticals through Tom's integrated build partnership. Vertical operations through Tom's broader operational substance. These functions operate at concentrated facilities while distributed functions operate through participating church facilities.</w:t>
      </w:r>
    </w:p>
    <w:p>
      <w:pPr>
        <w:pStyle w:val="Heading1"/>
        <w:pageBreakBefore/>
        <w:spacing w:after="240" w:before="240"/>
      </w:pPr>
      <w:r>
        <w:t xml:space="preserve">Four Material Verticals and Manufacturing Recovery</w:t>
      </w:r>
    </w:p>
    <w:p>
      <w:pPr>
        <w:spacing w:after="180" w:line="320"/>
      </w:pPr>
      <w:r>
        <w:t xml:space="preserve">The integrated build partnership through Tom Wilkinson provides four material verticals operating at cost basis pricing for cooperative construction and at commercial pricing for broader regional construction markets.</w:t>
      </w:r>
    </w:p>
    <w:p>
      <w:pPr>
        <w:spacing w:after="180" w:line="320"/>
      </w:pPr>
      <w:r>
        <w:t xml:space="preserve">Stone operations through Tom's existing Sand Mountain quarry operations. Stone supplies cooperative construction including barn depots, member housing, healthcare facilities, and broader cooperative infrastructure. Stone supplies regional construction beyond cooperative through commercial sales producing operational margin that supports broader vertical operations.</w:t>
      </w:r>
    </w:p>
    <w:p>
      <w:pPr>
        <w:spacing w:after="180" w:line="320"/>
      </w:pPr>
      <w:r>
        <w:t xml:space="preserve">Aggregate operations through Tom's existing aggregate operations at Sand Mountain quarry. Aggregate supplies cooperative construction including roads, foundations, and infrastructure. Aggregate supplies regional construction through commercial sales producing operational margin.</w:t>
      </w:r>
    </w:p>
    <w:p>
      <w:pPr>
        <w:spacing w:after="180" w:line="320"/>
      </w:pPr>
      <w:r>
        <w:t xml:space="preserve">Concrete operations through Tom's existing concrete production. Concrete supplies cooperative construction including structural construction across cooperative facility categories. Concrete supplies regional construction through commercial sales producing operational margin.</w:t>
      </w:r>
    </w:p>
    <w:p>
      <w:pPr>
        <w:spacing w:after="180" w:line="320"/>
      </w:pPr>
      <w:r>
        <w:t xml:space="preserve">Timber operations through cooperative-supported regional timber harvest and processing. Timber supplies cooperative construction including framing, finish materials, and broader timber-based construction. Timber operates inside Pullen's forest business operations and broader regional timber control. Timber supplies regional construction through commercial sales producing operational margin.</w:t>
      </w:r>
    </w:p>
    <w:p>
      <w:pPr>
        <w:spacing w:after="180" w:line="320"/>
      </w:pPr>
      <w:r>
        <w:t xml:space="preserve">Manufacturing recovery extends beyond the four material verticals across phases. Build the best you can build philosophy governs manufacturing approach. Generational construction producing buildings that operate across generations rather than buildings designed for obsolescence. Generational manufacturing producing goods that operate across decades rather than goods designed for replacement.</w:t>
      </w:r>
    </w:p>
    <w:p>
      <w:pPr>
        <w:spacing w:after="180" w:line="320"/>
      </w:pPr>
      <w:r>
        <w:t xml:space="preserve">The textile vertical operates from cotton field to finished products. Cotton sourced from Alabama connects to Sand Mountain family heritage. Mount Vernon Mills with Trion plant in Chattooga County operates as eventual phase three acquisition target where vertical integration cotton field to finished jeans recovers substantial regional industrial substance. Mount Vernon historically operated integrated regional industry across multiple stages. Recovery returns to integrated regional industry pattern.</w:t>
      </w:r>
    </w:p>
    <w:p>
      <w:pPr>
        <w:spacing w:after="180" w:line="320"/>
      </w:pPr>
      <w:r>
        <w:t xml:space="preserve">The broader manufacturing recovery extends to specific industries where regional capacity has been destroyed through globalization patterns. Furniture manufacturing. Specific tool manufacturing. Specific consumer goods manufacturing. Each sector operates inside the broader architectural commitment to regional industrial substance producing goods at quality that justifies the architecture's broader purpose. The acquisitions occur across decades as the architecture's capital base grows and as specific opportunities emerge.</w:t>
      </w:r>
    </w:p>
    <w:p>
      <w:pPr>
        <w:pStyle w:val="Heading1"/>
        <w:pageBreakBefore/>
        <w:spacing w:after="240" w:before="240"/>
      </w:pPr>
      <w:r>
        <w:t xml:space="preserve">Healthcare Infrastructure</w:t>
      </w:r>
    </w:p>
    <w:p>
      <w:pPr>
        <w:spacing w:after="180" w:line="320"/>
      </w:pPr>
      <w:r>
        <w:t xml:space="preserve">The architecture operates comprehensive healthcare infrastructure as integral element of comprehensive member institution model rather than as separate transactional service. Healthcare access at cooperative scale produces substantially better outcomes for member families than commercial alternatives produce.</w:t>
      </w:r>
    </w:p>
    <w:p>
      <w:pPr>
        <w:spacing w:after="180" w:line="320"/>
      </w:pPr>
      <w:r>
        <w:t xml:space="preserve">Healthcare access points operate at participating church facilities through rotating professional schedules. Doctors, dentists, and other healthcare professionals rotate across multiple participating church facilities providing one day per week service at each location. The rotation produces regional healthcare coverage through distributed deployment without requiring substantial concentrated healthcare facility investment at every location.</w:t>
      </w:r>
    </w:p>
    <w:p>
      <w:pPr>
        <w:spacing w:after="180" w:line="320"/>
      </w:pPr>
      <w:r>
        <w:t xml:space="preserve">Specific concentrated healthcare facilities support functions requiring concentration. Specific surgical services. Specific specialty care. Hospital partnerships supporting acute care needs. The Hutcheson Hospital site redevelopment in Catoosa County operates as potential anchor site for substantial concentrated healthcare facility serving the broader regional service area.</w:t>
      </w:r>
    </w:p>
    <w:p>
      <w:pPr>
        <w:spacing w:after="180" w:line="320"/>
      </w:pPr>
      <w:r>
        <w:t xml:space="preserve">Healthcare workforce development operates through specific training programs. Medical professional training through partnerships with regional medical schools. Allied health training through partnerships with regional community colleges and Georgia Northwestern Technical College specifically. Workforce development supports both cooperative healthcare operations and broader regional healthcare workforce capacity.</w:t>
      </w:r>
    </w:p>
    <w:p>
      <w:pPr>
        <w:spacing w:after="180" w:line="320"/>
      </w:pPr>
      <w:r>
        <w:t xml:space="preserve">Self-insurance for member family healthcare operates as central element of healthcare infrastructure. Self-insurance captures both insurance margin and healthcare delivery savings that flow to floor raising rather than to commercial insurance company extraction. Healthcare access through cooperative facilities operates inside self-insurance framework producing substantially lower cost healthcare delivery than commercial healthcare delivery produces.</w:t>
      </w:r>
    </w:p>
    <w:p>
      <w:pPr>
        <w:spacing w:after="180" w:line="320"/>
      </w:pPr>
      <w:r>
        <w:t xml:space="preserve">The healthcare infrastructure addresses specific regional health crises that have affected Appalachian population across generations. Substance abuse treatment. Mental health services. Maternal and child health. Chronic disease management. Each addresses real regional health need at scale beyond what current commercial healthcare delivery provides.</w:t>
      </w:r>
    </w:p>
    <w:p>
      <w:pPr>
        <w:pStyle w:val="Heading1"/>
        <w:pageBreakBefore/>
        <w:spacing w:after="240" w:before="240"/>
      </w:pPr>
      <w:r>
        <w:t xml:space="preserve">Capital Infrastructure</w:t>
      </w:r>
    </w:p>
    <w:p>
      <w:pPr>
        <w:spacing w:after="180" w:line="320"/>
      </w:pPr>
      <w:r>
        <w:t xml:space="preserve">The architecture operates multiple capital mechanisms that aggregate substantial capital base supporting deployment, operations, and continued architectural development. The mechanisms operate inside specific legitimate frameworks designed to fit compliant operations from initial structural design rather than retrofit after operations begin. The strip-down discipline operates centrally. Maximum value with minimum regulation. Maximum tax shelter through proven tools that everyone uses.</w:t>
      </w:r>
    </w:p>
    <w:p>
      <w:pPr>
        <w:pStyle w:val="Heading2"/>
        <w:spacing w:after="160" w:before="280"/>
      </w:pPr>
      <w:r>
        <w:t xml:space="preserve">The Fund Mechanism</w:t>
      </w:r>
    </w:p>
    <w:p>
      <w:pPr>
        <w:spacing w:after="180" w:line="320"/>
      </w:pPr>
      <w:r>
        <w:t xml:space="preserve">The Northwest Georgia Joint Development Authority Revolving Loan Fund operates as central capital infrastructure for foundation cell. Counties pool idle cash into professionally managed Treasury investment portfolio designed by Regions Bank. Counties retain ownership and earn investment income while not underwriting individual projects directly.</w:t>
      </w:r>
    </w:p>
    <w:p>
      <w:pPr>
        <w:spacing w:after="180" w:line="320"/>
      </w:pPr>
      <w:r>
        <w:t xml:space="preserve">The Designated Account Control Agreement structure operates with counties as beneficial owners, custodian holding the account, and the JDA as secured control party only upon defined trigger events. The JDA issues loans to development projects funded from loan repayments, bond proceeds, and other JDA capital. The structure complies with Georgia gratuities clause, Intergovernmental Contracts Clause Ga. Const. Art. IX Sec. III, Development Authorities Law O.C.G.A. Title 36 Ch. 62, Public Funds Compliance, and DCA reporting requirements.</w:t>
      </w:r>
    </w:p>
    <w:p>
      <w:pPr>
        <w:spacing w:after="180" w:line="320"/>
      </w:pPr>
      <w:r>
        <w:t xml:space="preserve">Foundation cell capitalization targets twenty million dollars across the four counties. Catoosa contributes seven million dollars from Hutcheson Hospital sale proceeds. Walker contributes seven million dollars through direct ask. Dade contributes three million dollars through Bank of Dade. Chattooga contributes three million dollars through SouthEast Bank. Catoosa and Walker custody operates through Regions per the designed plan. Dade and Chattooga custody operates through respective community banks. Differential contributions reflect actual county capacity. The principle governs that counties contributing to the fund receive the benefit while counties not contributing do not.</w:t>
      </w:r>
    </w:p>
    <w:p>
      <w:pPr>
        <w:spacing w:after="180" w:line="320"/>
      </w:pPr>
      <w:r>
        <w:t xml:space="preserve">The fund advances working capital for the producer cooperative member program with two percent service charge on cash flow. The fund supports broader regional development beyond the cooperative initiative including manufacturing recruitment, workforce housing development, infrastructure investment, and the broader regional economic development that the JDA exists to advance.</w:t>
      </w:r>
    </w:p>
    <w:p>
      <w:pPr>
        <w:spacing w:after="180" w:line="320"/>
      </w:pPr>
      <w:r>
        <w:t xml:space="preserve">Fund expansion across the broader Appalachian region operates as cells deploy across multiple states during phase three. Each regional fund operates inside specific state legal framework while sharing the broader pattern. Aggregate regional capital base across multi-state fund network supports regional resource control acquisitions across decades.</w:t>
      </w:r>
    </w:p>
    <w:p>
      <w:pPr>
        <w:pStyle w:val="Heading2"/>
        <w:spacing w:after="160" w:before="280"/>
      </w:pPr>
      <w:r>
        <w:t xml:space="preserve">Token as Internal Ledger Backed by Farmland, Treasury Bills, and Gold</w:t>
      </w:r>
    </w:p>
    <w:p>
      <w:pPr>
        <w:spacing w:after="180" w:line="320"/>
      </w:pPr>
      <w:r>
        <w:t xml:space="preserve">The cooperative operates a token as internal ledger infrastructure for cooperative member equity tracking. Member equity accounts. Patronage tracking. Worker progression equity. Producer cooperative member contributions. Cross-service aggregation. Comprehensive member institution participation. The accounting operates through digital ledger rather than through traditional accounting infrastructure. The token is cooperative member equity expressed through blockchain technology.</w:t>
      </w:r>
    </w:p>
    <w:p>
      <w:pPr>
        <w:spacing w:after="180" w:line="320"/>
      </w:pPr>
      <w:r>
        <w:t xml:space="preserve">The token has substantial substance backing through specific asset categories. Farmland holdings producing ongoing agricultural production revenue and continued land appreciation across decades. Treasury bills producing stable returns at low risk while preserving capital base. Gold eventually as historically stable store of value preserving capital across long timeframes including periods of substantial currency volatility. Manufacturing operations producing ongoing operational substance. Real estate producing rental income and appreciation. Resource control producing regional substance. Specific cooperative operational substance across all cooperative deployment.</w:t>
      </w:r>
    </w:p>
    <w:p>
      <w:pPr>
        <w:spacing w:after="180" w:line="320"/>
      </w:pPr>
      <w:r>
        <w:t xml:space="preserve">The combination produces diversified substantial substance backing the token across multiple asset categories with different specific characteristics. Productive asset producing ongoing revenue (farmland). Stable instrument producing predictable return (Treasury bills). Long-duration store of value preserving capital (gold). Each category operates inside specific market conditions supporting token stability across the multi-generational horizon.</w:t>
      </w:r>
    </w:p>
    <w:p>
      <w:pPr>
        <w:spacing w:after="180" w:line="320"/>
      </w:pPr>
      <w:r>
        <w:t xml:space="preserve">The internal ledger function operates as primary purpose. Members hold tokens reflecting their cooperative member equity position. Members borrow against tokens rather than selling tokens supporting tax-efficient capital access through the buy-and-borrow pattern. The token operates inside member equity account structure rather than as separate financial instrument.</w:t>
      </w:r>
    </w:p>
    <w:p>
      <w:pPr>
        <w:spacing w:after="180" w:line="320"/>
      </w:pPr>
      <w:r>
        <w:t xml:space="preserve">External market exposure operates as secondary function only when strategic capital deployment requires it. The cooperative may sell tokens from treasury strategically when substantial acquisition opportunities require capital. The strategic sales convert market valuation of cooperative substance into actual capital that flows to substantial regional acquisition. The mechanism does not operate as continuous capital raising or continuous trading activity. The mechanism operates strategically when substantial deployments require it.</w:t>
      </w:r>
    </w:p>
    <w:p>
      <w:pPr>
        <w:spacing w:after="180" w:line="320"/>
      </w:pPr>
      <w:r>
        <w:t xml:space="preserve">The token operates inside specific legal framework requiring specialized counsel for design and ongoing compliance. The structure must operate compliantly inside applicable securities frameworks, money transmission frameworks, anti-money laundering and Know Your Customer frameworks, tax frameworks, and broader regulatory frameworks.</w:t>
      </w:r>
    </w:p>
    <w:p>
      <w:pPr>
        <w:pStyle w:val="Heading2"/>
        <w:spacing w:after="160" w:before="280"/>
      </w:pPr>
      <w:r>
        <w:t xml:space="preserve">Whole Life Insurance Through Member Ownership</w:t>
      </w:r>
    </w:p>
    <w:p>
      <w:pPr>
        <w:spacing w:after="180" w:line="320"/>
      </w:pPr>
      <w:r>
        <w:t xml:space="preserve">Members hold whole life insurance policies on themselves through specific cooperative-supported infrastructure with members or member family as beneficiary. The structure operates inside settled traditional whole life framework that wealthy families have operated for over a century rather than inside the corporate-owned life insurance framework that introduces substantial Pension Protection Act compliance complexity.</w:t>
      </w:r>
    </w:p>
    <w:p>
      <w:pPr>
        <w:spacing w:after="180" w:line="320"/>
      </w:pPr>
      <w:r>
        <w:t xml:space="preserve">Cash value accumulates tax-deferred inside member-owned policies. Members borrow against cash value during life without taxable events supporting buy-and-borrow tax-efficient capital access. Death benefit transfers tax-free to family beneficiaries supporting family economic security at the moment of loss.</w:t>
      </w:r>
    </w:p>
    <w:p>
      <w:pPr>
        <w:spacing w:after="180" w:line="320"/>
      </w:pPr>
      <w:r>
        <w:t xml:space="preserve">The cooperative supports member whole life policy access through specific carrier relationships supporting member access at scale that individual member access would not support. Members access policies at substantially favorable terms through cooperative scale. The cooperative may support premium payment infrastructure through specific cooperative employment benefits or through specific member service infrastructure operating inside settled benefit plan frameworks.</w:t>
      </w:r>
    </w:p>
    <w:p>
      <w:pPr>
        <w:pStyle w:val="Heading2"/>
        <w:spacing w:after="160" w:before="280"/>
      </w:pPr>
      <w:r>
        <w:t xml:space="preserve">Self-Insurance</w:t>
      </w:r>
    </w:p>
    <w:p>
      <w:pPr>
        <w:spacing w:after="180" w:line="320"/>
      </w:pPr>
      <w:r>
        <w:t xml:space="preserve">The cooperative operates self-insurance for substantial insurance categories including health, property and casualty, crop, transition, auto, life, disability, and workers compensation. Self-insurance pools member premiums, manages risk across the substantial member base, and pays claims directly rather than through commercial insurance intermediaries.</w:t>
      </w:r>
    </w:p>
    <w:p>
      <w:pPr>
        <w:spacing w:after="180" w:line="320"/>
      </w:pPr>
      <w:r>
        <w:t xml:space="preserve">Self-insurance operates structurally for specific reasons. The architecture has substantial population scale supporting actuarial pooling. The architecture has substantial knowledge of member operations supporting accurate risk pricing. The architecture removes commercial insurance margin from the cost stack capturing margin for member benefit rather than for commercial insurance shareholder benefit. The architecture coordinates insurance with other services reducing overall claim cost through coordinated operations.</w:t>
      </w:r>
    </w:p>
    <w:p>
      <w:pPr>
        <w:spacing w:after="180" w:line="320"/>
      </w:pPr>
      <w:r>
        <w:t xml:space="preserve">Initial reserves operate at substantial scale supporting state insurance regulation requirements. Reserve growth across decades through accumulated premium contributions builds substantial capital base supporting both insurance operations and broader cooperative capital infrastructure. Self-insurance regulatory structure varies by state and by insurance line. Some operates through captive insurance companies. Some operates through risk retention groups. Some operates through health benefit plans under ERISA. Some operates through agricultural cooperative insurance provisions. The architecture works with specialized insurance counsel establishing appropriate regulatory structure for each insurance line.</w:t>
      </w:r>
    </w:p>
    <w:p>
      <w:pPr>
        <w:pStyle w:val="Heading2"/>
        <w:spacing w:after="160" w:before="280"/>
      </w:pPr>
      <w:r>
        <w:t xml:space="preserve">Credit Union</w:t>
      </w:r>
    </w:p>
    <w:p>
      <w:pPr>
        <w:spacing w:after="180" w:line="320"/>
      </w:pPr>
      <w:r>
        <w:t xml:space="preserve">The cooperative operates a credit union providing banking services to member families. Deposit accounts, lending including mortgages and operating lines of credit and auto financing, payment services, and broader financial services that families need.</w:t>
      </w:r>
    </w:p>
    <w:p>
      <w:pPr>
        <w:spacing w:after="180" w:line="320"/>
      </w:pPr>
      <w:r>
        <w:t xml:space="preserve">Credit union operations align structurally with the cooperative's broader pattern. Credit unions are member-owned financial cooperatives that align with the architecture's covenant relationship structure. Credit unions operate with specific regulatory advantages including lower regulatory capital requirements compared to commercial banks, tax exemption on credit union earnings, and access to NCUA regulatory framework supporting cooperative financial services.</w:t>
      </w:r>
    </w:p>
    <w:p>
      <w:pPr>
        <w:spacing w:after="180" w:line="320"/>
      </w:pPr>
      <w:r>
        <w:t xml:space="preserve">The architecture's substantial deposit base from member families and from cooperative operations provides funding for the credit union's lending operations. Member family deposits earn appropriate interest while funding lending that supports member family operations, member family construction, member operation expansion, member auto purchases, member borrowing against cooperative member equity, and broader architectural capital needs.</w:t>
      </w:r>
    </w:p>
    <w:p>
      <w:pPr>
        <w:spacing w:after="180" w:line="320"/>
      </w:pPr>
      <w:r>
        <w:t xml:space="preserve">Initial capitalization operates at scale supporting credit union regulatory requirements. The credit union charter develops over twelve to twenty-four months from initial application typically during phase one or early phase two. Operations launch with member deposit gathering and initial lending. The credit union grows alongside the broader architecture across decades.</w:t>
      </w:r>
    </w:p>
    <w:p>
      <w:pPr>
        <w:pStyle w:val="Heading2"/>
        <w:spacing w:after="160" w:before="280"/>
      </w:pPr>
      <w:r>
        <w:t xml:space="preserve">Patronage Dividend Distribution</w:t>
      </w:r>
    </w:p>
    <w:p>
      <w:pPr>
        <w:spacing w:after="180" w:line="320"/>
      </w:pPr>
      <w:r>
        <w:t xml:space="preserve">The cooperative distributes operating surplus to member equity accounts in proportion to member contribution. The distribution operates inside Subchapter T cooperative tax framework supporting tax-advantaged member equity accumulation across decades.</w:t>
      </w:r>
    </w:p>
    <w:p>
      <w:pPr>
        <w:spacing w:after="180" w:line="320"/>
      </w:pPr>
      <w:r>
        <w:t xml:space="preserve">Specific allocation across operating surplus operates through deliberate design. Some portion supports ongoing operations and reinvestment. Some portion flows to the network expansion fund through the tithe mechanism. Some portion flows as patronage dividends to member equity accounts. Some portion flows as ongoing dividend retention to the founder family trust at approximately ten percent. The allocation framework operates as constitutive structural commitment requiring deliberate articulation in cooperative governance documents.</w:t>
      </w:r>
    </w:p>
    <w:p>
      <w:pPr>
        <w:spacing w:after="180" w:line="320"/>
      </w:pPr>
      <w:r>
        <w:t xml:space="preserve">Patronage dividend distribution to member equity accounts operates as the central mechanism for floor raising at the individual family level. As the architecture's substance grows across decades, the patronage dividend distributions grow proportionally. The floor rises through this mechanism alongside the broader floor adjustment mechanism that operates structurally.</w:t>
      </w:r>
    </w:p>
    <w:p>
      <w:pPr>
        <w:pStyle w:val="Heading1"/>
        <w:pageBreakBefore/>
        <w:spacing w:after="240" w:before="240"/>
      </w:pPr>
      <w:r>
        <w:t xml:space="preserve">Lighthouse Asset Management Mandate Engagement</w:t>
      </w:r>
    </w:p>
    <w:p>
      <w:pPr>
        <w:spacing w:after="180" w:line="320"/>
      </w:pPr>
      <w:r>
        <w:t xml:space="preserve">Lighthouse asset management mandate engagement operates as primary phase two scaling mechanism. The architecture pursues substantial institutional asset management mandates serving institutional asset pools where beneficiary populations align with architecture purpose.</w:t>
      </w:r>
    </w:p>
    <w:p>
      <w:pPr>
        <w:pStyle w:val="Heading2"/>
        <w:spacing w:after="160" w:before="280"/>
      </w:pPr>
      <w:r>
        <w:t xml:space="preserve">Primary Phase Two Targets</w:t>
      </w:r>
    </w:p>
    <w:p>
      <w:pPr>
        <w:spacing w:after="180" w:line="320"/>
      </w:pPr>
      <w:r>
        <w:t xml:space="preserve">Teacher Retirement System of Georgia operates as primary phase two target. TRS Georgia holds approximately one hundred billion dollars in assets serving Georgia public school teachers and other public education employees across approximately two hundred fifty thousand active members and approximately one hundred thirty thousand retired members and beneficiaries.</w:t>
      </w:r>
    </w:p>
    <w:p>
      <w:pPr>
        <w:spacing w:after="180" w:line="320"/>
      </w:pPr>
      <w:r>
        <w:t xml:space="preserve">University System of Georgia operates as parallel primary phase two target. The system operates substantial endowment assets, substantial pension assets, and substantial operational assets across twenty-six public colleges and universities. Aggregate endowment assets across the system run to several billion dollars.</w:t>
      </w:r>
    </w:p>
    <w:p>
      <w:pPr>
        <w:spacing w:after="180" w:line="320"/>
      </w:pPr>
      <w:r>
        <w:t xml:space="preserve">Both targets serve Georgia education population that aligns with architecture purpose through specific cooperative engagement during phase one and beyond. Teachers and education workers operate as cooperative member population through specific cooperative engagement. The mission alignment is direct and substantive.</w:t>
      </w:r>
    </w:p>
    <w:p>
      <w:pPr>
        <w:pStyle w:val="Heading2"/>
        <w:spacing w:after="160" w:before="280"/>
      </w:pPr>
      <w:r>
        <w:t xml:space="preserve">Member Advocacy Positioning</w:t>
      </w:r>
    </w:p>
    <w:p>
      <w:pPr>
        <w:spacing w:after="180" w:line="320"/>
      </w:pPr>
      <w:r>
        <w:t xml:space="preserve">The architecture engages TRS Georgia and University System of Georgia from inside the beneficiary populations rather than from outside vendor positioning. Specific Lighthouse leadership operates as TRS Georgia members through specific teaching or education employment status. The framing matters substantially. Vendors compete for institutional business through specific competitive engagement. Beneficiaries advocate for structural change through specific member engagement and through specific fiduciary engagement with trustees.</w:t>
      </w:r>
    </w:p>
    <w:p>
      <w:pPr>
        <w:spacing w:after="180" w:line="320"/>
      </w:pPr>
      <w:r>
        <w:t xml:space="preserve">The engagement builds across years through specific membership experience, specific understanding of fund operations affecting member retirement security, and specific advocacy for structural change supporting better beneficiary outcomes. Other beneficiary population members may be brought into specific advocacy efforts supporting structural change. Teacher associations. Specific networks of teachers and education workers concerned about retirement security and broader institutional outcomes. Specific organized member advocacy through cooperative engagement infrastructure.</w:t>
      </w:r>
    </w:p>
    <w:p>
      <w:pPr>
        <w:spacing w:after="180" w:line="320"/>
      </w:pPr>
      <w:r>
        <w:t xml:space="preserve">The collective voice of substantial member population supporting structural change operates with substantial influence inside fund governance. The architecture's eventual mandate engagement operates inside this broader member advocacy context rather than as outside vendor seeking institutional business.</w:t>
      </w:r>
    </w:p>
    <w:p>
      <w:pPr>
        <w:pStyle w:val="Heading2"/>
        <w:spacing w:after="160" w:before="280"/>
      </w:pPr>
      <w:r>
        <w:t xml:space="preserve">Foundation Period Engagement</w:t>
      </w:r>
    </w:p>
    <w:p>
      <w:pPr>
        <w:spacing w:after="180" w:line="320"/>
      </w:pPr>
      <w:r>
        <w:t xml:space="preserve">Phase one foundation period builds substance, reputation, capability, and institutional positioning supporting subsequent mandate engagement. Producer cooperative member program operating successfully serving substantial regional agricultural population. Christian business cluster operating across participating church facilities serving substantial regional population. Healthcare infrastructure operating effectively. Capital infrastructure operating at substantial scale through fund mechanism. Cooperative member institution operating across comprehensive services.</w:t>
      </w:r>
    </w:p>
    <w:p>
      <w:pPr>
        <w:spacing w:after="180" w:line="320"/>
      </w:pPr>
      <w:r>
        <w:t xml:space="preserve">Specific community investment, school investment, and state education policy investment operates during phase one as substantive support for Georgia education population while building institutional positioning supporting subsequent mandate engagement. Community investment through cooperative business cluster operations across participating church facilities serving education worker families. Healthcare infrastructure serving education workers and their families. Housing infrastructure supporting education worker family stability. Educational infrastructure supporting education worker family children.</w:t>
      </w:r>
    </w:p>
    <w:p>
      <w:pPr>
        <w:spacing w:after="180" w:line="320"/>
      </w:pPr>
      <w:r>
        <w:t xml:space="preserve">School investment operates through CTAE pipeline integration with regional school systems, specific cooperative engagement with regional school district leadership, specific cooperative-supported educational programs operating inside regional schools, specific cooperative scholarship programs supporting student access to higher education, and specific cooperative engagement with Georgia Northwestern Technical College and broader regional educational institutional fabric.</w:t>
      </w:r>
    </w:p>
    <w:p>
      <w:pPr>
        <w:spacing w:after="180" w:line="320"/>
      </w:pPr>
      <w:r>
        <w:t xml:space="preserve">State education policy investment operates through specific engagement with state education policy makers at appropriate institutional levels, specific advocacy supporting policy frameworks that align with architecture purposes, specific institutional positioning inside state education policy fabric, specific support for educational reform efforts that align with cooperative architecture purposes, and specific engagement with state retirement system policy supporting subsequent mandate engagement.</w:t>
      </w:r>
    </w:p>
    <w:p>
      <w:pPr>
        <w:spacing w:after="180" w:line="320"/>
      </w:pPr>
      <w:r>
        <w:t xml:space="preserve">Investment management capability builds during phase one supporting subsequent mandate engagement. Treasury investment portfolio managed professionally through fund mechanism custodian arrangements. Resource investment portfolio building. Real estate investment portfolio building. Specific investment expertise developing through cooperative operations. Specialized counsel infrastructure supporting investment management operations.</w:t>
      </w:r>
    </w:p>
    <w:p>
      <w:pPr>
        <w:pStyle w:val="Heading2"/>
        <w:spacing w:after="160" w:before="280"/>
      </w:pPr>
      <w:r>
        <w:t xml:space="preserve">Phase Two Mandate Engagement</w:t>
      </w:r>
    </w:p>
    <w:p>
      <w:pPr>
        <w:spacing w:after="180" w:line="320"/>
      </w:pPr>
      <w:r>
        <w:t xml:space="preserve">Phase two mandate engagement begins as foundation cell substance supports it. Initial mandate engagement at limited scale demonstrates operational capability. Approximately one hundred million to five hundred million dollars in initial assets under management through specific small mandate engagements. Initial mandates demonstrate operational capability and produce specific track record supporting subsequent expansion.</w:t>
      </w:r>
    </w:p>
    <w:p>
      <w:pPr>
        <w:spacing w:after="180" w:line="320"/>
      </w:pPr>
      <w:r>
        <w:t xml:space="preserve">Subsequent expansion operates as track record and institutional positioning support broader engagement. Mandates in the one billion to ten billion dollar range as track record supports it. Multi-state engagement extending across the broader Appalachian region during phase three. Specific federal level engagement supporting federal pension mandate access during phase three or four.</w:t>
      </w:r>
    </w:p>
    <w:p>
      <w:pPr>
        <w:spacing w:after="180" w:line="320"/>
      </w:pPr>
      <w:r>
        <w:t xml:space="preserve">The competitive positioning operates differently from commercial asset management firms pursuing institutional mandates through pure commercial competition. Cooperative ownership serving beneficiary interests rather than commercial shareholder interests. Mission alignment supporting beneficiary populations directly. Multi-generational horizon matching pension obligations. Substantial regional institutional fabric. Fee structure operating at minimal cost basis providing fiduciary advantage to mandate sponsors. Specific track record demonstrating performance through phase one cooperative operations.</w:t>
      </w:r>
    </w:p>
    <w:p>
      <w:pPr>
        <w:spacing w:after="180" w:line="320"/>
      </w:pPr>
      <w:r>
        <w:t xml:space="preserve">The fiduciary positioning operates inside specific articulation that mandate trustees can evaluate clearly. The architecture as alternative to commercial asset management produces specific fiduciary advantages including lower fees, mission alignment with beneficiary populations, multi-generational horizon matching pension obligations, and specific structural commitments preserving architectural integrity. The fiduciary articulation supports trustee evaluation rather than producing fiduciary skepticism.</w:t>
      </w:r>
    </w:p>
    <w:p>
      <w:pPr>
        <w:spacing w:after="180" w:line="320"/>
      </w:pPr>
      <w:r>
        <w:t xml:space="preserve">The investment strategy operates inside specific architectural discipline supporting both fiduciary return obligation and broader architectural deployment. Investment in regional resource control supports broader regional development that benefits beneficiary populations. Investment in manufacturing recovery supports broader regional industrial substance benefiting beneficiary populations. Investment in real estate supports broader regional housing infrastructure benefiting beneficiary populations. Each investment operates inside fiduciary obligation while supporting broader architectural purposes serving the beneficiary populations directly.</w:t>
      </w:r>
    </w:p>
    <w:p>
      <w:pPr>
        <w:pStyle w:val="Heading1"/>
        <w:pageBreakBefore/>
        <w:spacing w:after="240" w:before="240"/>
      </w:pPr>
      <w:r>
        <w:t xml:space="preserve">The Tithe Mechanism for Network Expansion</w:t>
      </w:r>
    </w:p>
    <w:p>
      <w:pPr>
        <w:spacing w:after="180" w:line="320"/>
      </w:pPr>
      <w:r>
        <w:t xml:space="preserve">Each cooperative cell tithes ten percent of top line revenue to the network expansion fund. The tithe operates as covenant contribution to the broader network rather than as financial investment with returns. The tithe funds new node deployment as accumulated tithe supports each subsequent cell launch.</w:t>
      </w:r>
    </w:p>
    <w:p>
      <w:pPr>
        <w:spacing w:after="180" w:line="320"/>
      </w:pPr>
      <w:r>
        <w:t xml:space="preserve">The biblical pattern is direct. Ten percent set aside for the work. The first ten percent. Off the top. Before other obligations. The tithe belongs to the work itself rather than to the giver. Top line discipline forces the cell to operate within the ninety percent that remains. The cell cannot grow expenses to consume what would otherwise be tithe. The tithe comes off the top before operational decisions are made.</w:t>
      </w:r>
    </w:p>
    <w:p>
      <w:pPr>
        <w:spacing w:after="180" w:line="320"/>
      </w:pPr>
      <w:r>
        <w:t xml:space="preserve">Cells that contribute do not receive financial repayment from the network. The contribution operates as covenant participation rather than as financial transaction. New cells receive seed capital from the network expansion fund because they are part of the network. They contribute their own tithe once they generate top line revenue. The mechanism operates as continuous tithe pattern across the network.</w:t>
      </w:r>
    </w:p>
    <w:p>
      <w:pPr>
        <w:spacing w:after="180" w:line="320"/>
      </w:pPr>
      <w:r>
        <w:t xml:space="preserve">The expansion happens when accumulated tithe can fund a new node. The first new node launches when foundation cell tithe accumulates enough to fund the next cell's seed capital during phase two. Subsequent expansion operates as the tithe pattern compounds across the network producing exponential growth bounded by the network's actual capacity to generate surplus.</w:t>
      </w:r>
    </w:p>
    <w:p>
      <w:pPr>
        <w:pStyle w:val="Heading1"/>
        <w:pageBreakBefore/>
        <w:spacing w:after="240" w:before="240"/>
      </w:pPr>
      <w:r>
        <w:t xml:space="preserve">Platform Replication Architecture</w:t>
      </w:r>
    </w:p>
    <w:p>
      <w:pPr>
        <w:spacing w:after="180" w:line="320"/>
      </w:pPr>
      <w:r>
        <w:t xml:space="preserve">The foundation cell operates as prototype for broader regional and eventual international replication. Subsequent cells use any part or all of the platform pattern. Innovate. Succeed or fail on their own terms. The architecture wants information from their experience to develop the platform across decades.</w:t>
      </w:r>
    </w:p>
    <w:p>
      <w:pPr>
        <w:spacing w:after="180" w:line="320"/>
      </w:pPr>
      <w:r>
        <w:t xml:space="preserve">The architecture operates more open than Android platform model and closer to open source software development. Subsequent regions are not subsidiaries operating under foundation cell control. Subsequent regions are autonomous cells operating inside platform commitments while developing locally appropriate operational substance.</w:t>
      </w:r>
    </w:p>
    <w:p>
      <w:pPr>
        <w:pStyle w:val="Heading2"/>
        <w:spacing w:after="160" w:before="280"/>
      </w:pPr>
      <w:r>
        <w:t xml:space="preserve">Two Paths for Platform Spread</w:t>
      </w:r>
    </w:p>
    <w:p>
      <w:pPr>
        <w:spacing w:after="180" w:line="320"/>
      </w:pPr>
      <w:r>
        <w:t xml:space="preserve">The first path is independent build. Regional leadership in adjacent regions builds their own cooperative cell from the ground up using the platform pattern. They access foundation cell pattern documentation, learn from foundation cell operational experience, and develop their own operational substance with their own leadership, their own institutional fabric, their own capital sources, and their own implementation choices. The cell operates inside platform commitments while operating independently.</w:t>
      </w:r>
    </w:p>
    <w:p>
      <w:pPr>
        <w:spacing w:after="180" w:line="320"/>
      </w:pPr>
      <w:r>
        <w:t xml:space="preserve">The second path is outsourcing customer relationship. Regional leadership in adjacent regions becomes customer of foundation cell for outsourcing services. Foundation cell provides operational services that subsequent regions cannot easily develop independently. The foundation cell earns revenue from outsourcing services. The customer regions access foundation cell expertise without independent development requirement.</w:t>
      </w:r>
    </w:p>
    <w:p>
      <w:pPr>
        <w:pStyle w:val="Heading2"/>
        <w:spacing w:after="160" w:before="280"/>
      </w:pPr>
      <w:r>
        <w:t xml:space="preserve">The Global Replication Playbook</w:t>
      </w:r>
    </w:p>
    <w:p>
      <w:pPr>
        <w:spacing w:after="180" w:line="320"/>
      </w:pPr>
      <w:r>
        <w:t xml:space="preserve">The foundation cell develops the Global Replication Playbook as primary deliverable for the broader architecture. The playbook captures the pattern at the level supporting faithful replication across regions while preserving each cell's operational autonomy.</w:t>
      </w:r>
    </w:p>
    <w:p>
      <w:pPr>
        <w:spacing w:after="180" w:line="320"/>
      </w:pPr>
      <w:r>
        <w:t xml:space="preserve">Playbook development operates from foundation cell experience rather than from theoretical specification. What works in foundation cell operations gets documented as working pattern. What does not work gets documented as failure mode to avoid. Subsequent cells benefit from foundation cell experience while developing their own operational substance.</w:t>
      </w:r>
    </w:p>
    <w:p>
      <w:pPr>
        <w:pStyle w:val="Heading2"/>
        <w:spacing w:after="160" w:before="280"/>
      </w:pPr>
      <w:r>
        <w:t xml:space="preserve">Initial Seeding Targets</w:t>
      </w:r>
    </w:p>
    <w:p>
      <w:pPr>
        <w:spacing w:after="180" w:line="320"/>
      </w:pPr>
      <w:r>
        <w:t xml:space="preserve">Four initial seeding targets operate after foundation cell maturity during phase two. North Alabama including Sand Mountain region with specific connection to founder family heritage and to integrated build partnership through Tom. North Georgia beyond foundation cell service area extending platform across the broader north Georgia regional fabric. Chattanooga as substantial regional metropolitan area with specific position in southern Appalachian regional economy. Dalton as substantial regional center with specific industrial substance including carpet industry connections.</w:t>
      </w:r>
    </w:p>
    <w:p>
      <w:pPr>
        <w:spacing w:after="180" w:line="320"/>
      </w:pPr>
      <w:r>
        <w:t xml:space="preserve">Subsequent seeding extends across the broader Appalachian region during phase three and eventually beyond. Each cell tithes ten percent of top line revenue supporting continued network expansion. The exponential pattern compounds across decades producing substantial regional coverage and eventual broader coverage at the multi-generational horizon.</w:t>
      </w:r>
    </w:p>
    <w:p>
      <w:pPr>
        <w:pStyle w:val="Heading1"/>
        <w:pageBreakBefore/>
        <w:spacing w:after="240" w:before="240"/>
      </w:pPr>
      <w:r>
        <w:t xml:space="preserve">Founding Board and Governance</w:t>
      </w:r>
    </w:p>
    <w:p>
      <w:pPr>
        <w:spacing w:after="180" w:line="320"/>
      </w:pPr>
      <w:r>
        <w:t xml:space="preserve">The founding board base comes from the regional institutional leadership operating inside the four county service area. The board base is institutional fabric rather than recruited outsiders. The board members carry credibility with the actual farming community and broader regional Christian community that the architecture serves through their existing institutional standing developed across decades.</w:t>
      </w:r>
    </w:p>
    <w:p>
      <w:pPr>
        <w:pStyle w:val="Heading2"/>
        <w:spacing w:after="160" w:before="280"/>
      </w:pPr>
      <w:r>
        <w:t xml:space="preserve">Founding Board Members by County</w:t>
      </w:r>
    </w:p>
    <w:p>
      <w:pPr>
        <w:spacing w:after="180" w:line="320"/>
      </w:pPr>
      <w:r>
        <w:t xml:space="preserve">Walker County representation includes Dalton Green serving as Georgia Young Farmers Association State Secretary and probable director of the foundation cell operations. Brandon Wilson serving as Georgia Young Farmers Association North Region Junior Director. Chapin from the Rock City family with substantial regional brand and tourism economy capability, currently serving with Matt on the Top of Georgia regional development board.</w:t>
      </w:r>
    </w:p>
    <w:p>
      <w:pPr>
        <w:spacing w:after="180" w:line="320"/>
      </w:pPr>
      <w:r>
        <w:t xml:space="preserve">Catoosa County representation includes Bernard Sims serving as Georgia Farm Bureau North Georgia Vice President sitting on the GFB Board of Directors with deep institutional standing across forty-nine north Georgia counties spanning from Alabama to South Carolina. Sims has held the Catoosa County Farm Bureau presidency since 1979, a substantial multi-decade tenure. Sims attends Burning Bush Baptist Church producing faith foundation alignment.</w:t>
      </w:r>
    </w:p>
    <w:p>
      <w:pPr>
        <w:spacing w:after="180" w:line="320"/>
      </w:pPr>
      <w:r>
        <w:t xml:space="preserve">Chattooga County representation includes Garrett Hurley serving as 2026 Chairman of the GFB Young Farmers and Ranchers Committee with state-level institutional standing through the YF&amp;R network.</w:t>
      </w:r>
    </w:p>
    <w:p>
      <w:pPr>
        <w:spacing w:after="180" w:line="320"/>
      </w:pPr>
      <w:r>
        <w:t xml:space="preserve">Dade County representation includes Dr. Pullen as substantial landowner with forest business and mining operations, or Dr. Pullen's son operating in family business operations. The specific representation depends on conflict of interest considerations associated with Dr. Pullen's county commission role and on which family member operationally engages with the founding board service.</w:t>
      </w:r>
    </w:p>
    <w:p>
      <w:pPr>
        <w:pStyle w:val="Heading2"/>
        <w:spacing w:after="160" w:before="280"/>
      </w:pPr>
      <w:r>
        <w:t xml:space="preserve">Director and Operational Leadership</w:t>
      </w:r>
    </w:p>
    <w:p>
      <w:pPr>
        <w:spacing w:after="180" w:line="320"/>
      </w:pPr>
      <w:r>
        <w:t xml:space="preserve">Dalton Green serves as director of foundation cell operations on part-time contractor basis during phase one (approximately sixty thousand to eighty-five thousand dollars annually) while continuing his GYFA State Secretary role. Green's institutional standing through GYFA produces substantial value to architecture's initial work that full-time engagement would actually reduce by removing him from the GYFA role.</w:t>
      </w:r>
    </w:p>
    <w:p>
      <w:pPr>
        <w:spacing w:after="180" w:line="320"/>
      </w:pPr>
      <w:r>
        <w:t xml:space="preserve">The contractor structure operates inside foundation period discipline. Minimum to start. Reorganize once it is figured out. The architecture launches as initiative under JDA umbrella rather than as fully independent private cooperative from day one. Inherits JDA standing. Reorganizes into independent cooperative once operations are figured out.</w:t>
      </w:r>
    </w:p>
    <w:p>
      <w:pPr>
        <w:spacing w:after="180" w:line="320"/>
      </w:pPr>
      <w:r>
        <w:t xml:space="preserve">Transition to full-time leadership operates after phase one when operational substance and capital trajectory support the transition. Subsequent founding team members including legal counsel, additional operational leadership, and specialized roles join as foundation cell operations develop substance supporting their addition.</w:t>
      </w:r>
    </w:p>
    <w:p>
      <w:pPr>
        <w:pStyle w:val="Heading2"/>
        <w:spacing w:after="160" w:before="280"/>
      </w:pPr>
      <w:r>
        <w:t xml:space="preserve">Governance Structure</w:t>
      </w:r>
    </w:p>
    <w:p>
      <w:pPr>
        <w:spacing w:after="180" w:line="320"/>
      </w:pPr>
      <w:r>
        <w:t xml:space="preserve">The board operates with flat structure with specific specialist seats rather than hierarchical structure with committee subdivisions. Each specialist seat carries domain operational responsibility rather than passive participation. Producer cooperative member program. Worker progression structure. Comprehensive member institution operations. Capital infrastructure. Mission framework engagement. Construction and material verticals. Healthcare infrastructure. Each specialist seat operates with specific accountability for the domain it represents.</w:t>
      </w:r>
    </w:p>
    <w:p>
      <w:pPr>
        <w:spacing w:after="180" w:line="320"/>
      </w:pPr>
      <w:r>
        <w:t xml:space="preserve">The architectural continuity seat operates as constitutive board position held by founder family across generations. The seat carries one vote on governance decisions. Specific stewardship responsibilities for architectural pattern integrity. No veto authority. No economic authority. No operational management authority. The seat passes through family across generations through family-internal succession that the architecture's governance documents recognize as legitimate.</w:t>
      </w:r>
    </w:p>
    <w:p>
      <w:pPr>
        <w:pStyle w:val="Heading1"/>
        <w:pageBreakBefore/>
        <w:spacing w:after="240" w:before="240"/>
      </w:pPr>
      <w:r>
        <w:t xml:space="preserve">The Architect Serving the System Principle</w:t>
      </w:r>
    </w:p>
    <w:p>
      <w:pPr>
        <w:spacing w:after="180" w:line="320"/>
      </w:pPr>
      <w:r>
        <w:t xml:space="preserve">The architect serves the system. The system runs without the architect. This principle operates from foundation through multi-generational horizon as constitutive structural commitment rather than as eventual transition that develops over time.</w:t>
      </w:r>
    </w:p>
    <w:p>
      <w:pPr>
        <w:spacing w:after="180" w:line="320"/>
      </w:pPr>
      <w:r>
        <w:t xml:space="preserve">The architect identifies the operational successor as the longest lever for the architecture's foundation. The operational successor handles legal counsel hire, founding team development, capital deployment, institutional engagement, board recruitment, producer cooperative member program development, pilot facility deployment, and broader operational development. The architect's direct involvement after the right person is in place is governance level rather than operational.</w:t>
      </w:r>
    </w:p>
    <w:p>
      <w:pPr>
        <w:spacing w:after="180" w:line="320"/>
      </w:pPr>
      <w:r>
        <w:t xml:space="preserve">The principle operates inside specific theological tradition. Mature institutions identify operational successors. The successor executes. The founder transitions to governance and architectural continuity rather than operational management. The architect's calling is the architecture itself rather than the architect's personal operational engagement with the architecture.</w:t>
      </w:r>
    </w:p>
    <w:p>
      <w:pPr>
        <w:spacing w:after="180" w:line="320"/>
      </w:pPr>
      <w:r>
        <w:t xml:space="preserve">The architect's continuing role operates through specific elements. Architectural continuity board seat providing governance participation. Pattern guidance when called for by operational leadership. Creative work that funds substantial architectural deployment across decades. Multi-generational stewardship of the architectural pattern itself across leadership transitions. Specific institutional relationships that the architect's position supports.</w:t>
      </w:r>
    </w:p>
    <w:p>
      <w:pPr>
        <w:spacing w:after="180" w:line="320"/>
      </w:pPr>
      <w:r>
        <w:t xml:space="preserve">The architect's family inherits the bounded position rather than inheriting operational authority over the architecture. Operational authority transfers through cooperative governance mechanisms to subsequent operational leadership. The architectural continuity seat passes through family across generations as governance contribution rather than as economic claim or operational authority. The structural separation between operational authority and architectural continuity preserves the architecture against the failure mode where founder family operational authority would compound into substantial concentration of power across generations.</w:t>
      </w:r>
    </w:p>
    <w:p>
      <w:pPr>
        <w:pStyle w:val="Heading1"/>
        <w:pageBreakBefore/>
        <w:spacing w:after="240" w:before="240"/>
      </w:pPr>
      <w:r>
        <w:t xml:space="preserve">Founder Family Permanent Position</w:t>
      </w:r>
    </w:p>
    <w:p>
      <w:pPr>
        <w:spacing w:after="180" w:line="320"/>
      </w:pPr>
      <w:r>
        <w:t xml:space="preserve">The founder family receives four constitutive structural elements as permanent position. The position operates as plenty rather than as foundation for vast wealth accumulation. The personal plan is not to build vast wealth for the family but to make it so the family cannot fail economically across generations regardless of individual choices, life circumstances, or external pressures.</w:t>
      </w:r>
    </w:p>
    <w:p>
      <w:pPr>
        <w:pStyle w:val="Heading2"/>
        <w:spacing w:after="160" w:before="280"/>
      </w:pPr>
      <w:r>
        <w:t xml:space="preserve">Element One: Farm in Trust</w:t>
      </w:r>
    </w:p>
    <w:p>
      <w:pPr>
        <w:spacing w:after="180" w:line="320"/>
      </w:pPr>
      <w:r>
        <w:t xml:space="preserve">The family farm operates in trust rather than as direct family ownership. The land cannot be sold to liquidate value across generations. The trust holds the land for the family's stewardship across time rather than for any specific generation's economic disposition. The land operates as multi-generational family asset that supports family operation across decades while preventing the wealth concentration pattern where successful family land becomes increasingly valuable real estate that gets sold to outside parties when subsequent generations face financial pressure or lose connection to the land.</w:t>
      </w:r>
    </w:p>
    <w:p>
      <w:pPr>
        <w:spacing w:after="180" w:line="320"/>
      </w:pPr>
      <w:r>
        <w:t xml:space="preserve">The trust structure protects the land from family disputes that might otherwise threaten its continuity. Marriage, divorce, inheritance disputes, family conflicts across generations cannot fragment land held in trust the way directly owned land can fragment.</w:t>
      </w:r>
    </w:p>
    <w:p>
      <w:pPr>
        <w:pStyle w:val="Heading2"/>
        <w:spacing w:after="160" w:before="280"/>
      </w:pPr>
      <w:r>
        <w:t xml:space="preserve">Element Two: Architectural Continuity Board Seat</w:t>
      </w:r>
    </w:p>
    <w:p>
      <w:pPr>
        <w:spacing w:after="180" w:line="320"/>
      </w:pPr>
      <w:r>
        <w:t xml:space="preserve">The architectural continuity board seat operates as governance responsibility across generations rather than as economic claim. One vote on governance decisions. Specific stewardship responsibilities for architectural pattern integrity. No veto authority. No economic authority. No operational management authority. The seat passes through family across generations through family-internal succession that the architecture's governance documents recognize as legitimate.</w:t>
      </w:r>
    </w:p>
    <w:p>
      <w:pPr>
        <w:spacing w:after="180" w:line="320"/>
      </w:pPr>
      <w:r>
        <w:t xml:space="preserve">The seat holder participates substantively in governance decisions. The seat holder maintains the architectural pattern's structural integrity across generations. The seat holder serves as institutional memory and as architectural conscience for the broader board. The seat is service rather than honor.</w:t>
      </w:r>
    </w:p>
    <w:p>
      <w:pPr>
        <w:pStyle w:val="Heading2"/>
        <w:spacing w:after="160" w:before="280"/>
      </w:pPr>
      <w:r>
        <w:t xml:space="preserve">Element Three: Guaranteed Cooperative Membership</w:t>
      </w:r>
    </w:p>
    <w:p>
      <w:pPr>
        <w:spacing w:after="180" w:line="320"/>
      </w:pPr>
      <w:r>
        <w:t xml:space="preserve">The family operates as cooperative member family across generations with the same package terms and member benefits that other producer cooperative member families receive. Set monthly draws against production from the family farm. Comprehensive benefits coverage. Healthcare access through cooperative healthcare infrastructure. Food access through cooperative supply. Housing on the family farm without architecture rental relationship. Education access through cooperative educational operations. Legal services through cooperative legal counsel. Banking through cooperative credit union. Insurance through cooperative self-insurance. Worker progression access for family members entering cooperative employment.</w:t>
      </w:r>
    </w:p>
    <w:p>
      <w:pPr>
        <w:spacing w:after="180" w:line="320"/>
      </w:pPr>
      <w:r>
        <w:t xml:space="preserve">The guaranteed membership ensures the family's economic position is sustained at the cooperative member family level across generations regardless of the family farm's specific production capacity. The family floor operates as part of the broader floor mechanism.</w:t>
      </w:r>
    </w:p>
    <w:p>
      <w:pPr>
        <w:pStyle w:val="Heading2"/>
        <w:spacing w:after="160" w:before="280"/>
      </w:pPr>
      <w:r>
        <w:t xml:space="preserve">Element Four: Decent Dividend Through Trust Ownership</w:t>
      </w:r>
    </w:p>
    <w:p>
      <w:pPr>
        <w:spacing w:after="180" w:line="320"/>
      </w:pPr>
      <w:r>
        <w:t xml:space="preserve">The family receives ongoing dividend flow from cooperative operations through trust ownership retention representing approximately ten percent of dividend distributions. The retention operates inside the broader member dividend mechanism rather than as separate founder benefit outside the architecture's broader pattern.</w:t>
      </w:r>
    </w:p>
    <w:p>
      <w:pPr>
        <w:spacing w:after="180" w:line="320"/>
      </w:pPr>
      <w:r>
        <w:t xml:space="preserve">The retention reflects founder contribution to cooperative operations at appropriate scale. Founding work. Architectural development. Ongoing governance through the family seat. Continuing capital flow from creative career success during foundation period. Broader contribution across the multi-generational horizon.</w:t>
      </w:r>
    </w:p>
    <w:p>
      <w:pPr>
        <w:spacing w:after="180" w:line="320"/>
      </w:pPr>
      <w:r>
        <w:t xml:space="preserve">The retention is bounded. As the cooperative scales and as more members contribute substantially across decades, founder contribution remains a specific portion of total contribution rather than growing proportionally with the cooperative's scale. The bounded percentage operates as appropriate scale boundary.</w:t>
      </w:r>
    </w:p>
    <w:p>
      <w:pPr>
        <w:spacing w:after="180" w:line="320"/>
      </w:pPr>
      <w:r>
        <w:t xml:space="preserve">The retention operates inside the trust structure. The trust holds the equity that generates the ten percent dividend retention. The trust receives the dividend distributions. The trust distributes to family beneficiaries according to trust terms.</w:t>
      </w:r>
    </w:p>
    <w:p>
      <w:pPr>
        <w:pStyle w:val="Heading2"/>
        <w:spacing w:after="160" w:before="280"/>
      </w:pPr>
      <w:r>
        <w:t xml:space="preserve">Bounded Position as Structural Protection</w:t>
      </w:r>
    </w:p>
    <w:p>
      <w:pPr>
        <w:spacing w:after="180" w:line="320"/>
      </w:pPr>
      <w:r>
        <w:t xml:space="preserve">The four elements operate together as structural protection rather than as foundation for wealth accumulation. The family cannot fall below a specific floor regardless of individual decisions or external circumstances. Land. Institutional standing. Economic participation. Income flow. Each element protects against specific failure modes that wealth alone cannot prevent.</w:t>
      </w:r>
    </w:p>
    <w:p>
      <w:pPr>
        <w:spacing w:after="180" w:line="320"/>
      </w:pPr>
      <w:r>
        <w:t xml:space="preserve">The bounded position addresses the deeper failure mode that vast wealth typically produces. Wealth concentration across generations tends to corrupt the families that hold it. The structural protection avoids this failure mode through bounded position requiring the family to maintain connection to the work, to the land, to the cooperative community, to the broader architectural purpose.</w:t>
      </w:r>
    </w:p>
    <w:p>
      <w:pPr>
        <w:spacing w:after="180" w:line="320"/>
      </w:pPr>
      <w:r>
        <w:t xml:space="preserve">The framing fits theologically through Proverbs 30 prayer for neither poverty nor riches. The family has enough. The family does not have so much that the wealth itself becomes the problem. The framing also creates structural alignment between family interest and architectural interest across generations.</w:t>
      </w:r>
    </w:p>
    <w:p>
      <w:pPr>
        <w:pStyle w:val="Heading1"/>
        <w:pageBreakBefore/>
        <w:spacing w:after="240" w:before="240"/>
      </w:pPr>
      <w:r>
        <w:t xml:space="preserve">The Wise as Serpents and Harmless as Doves Discipline</w:t>
      </w:r>
    </w:p>
    <w:p>
      <w:pPr>
        <w:spacing w:after="180" w:line="320"/>
      </w:pPr>
      <w:r>
        <w:t xml:space="preserve">Matthew 10:16 names the operational discipline. Behold, I send you out as sheep in the midst of wolves. Be wise as serpents and harmless as doves. The combination governs how the architecture operates inside hostile territory while accomplishing the work.</w:t>
      </w:r>
    </w:p>
    <w:p>
      <w:pPr>
        <w:spacing w:after="180" w:line="320"/>
      </w:pPr>
      <w:r>
        <w:t xml:space="preserve">Wise as serpents means strategic clarity about how the world actually operates. Understanding institutional structures, capital flows, regulatory frameworks, political dynamics, competitive positioning. Recognizing extractive systems for what they are. Operating with full awareness of how the corporate economic system extracts from regional Christian community and how protective infrastructure has to be designed to actually protect rather than to perform opposition. The Lighthouse asset manager framing. The strategic phasing. The TVA infrastructure provider framing. The disintermediation purpose. The capital infrastructure mechanisms operating inside specific legal frameworks at substantial scale. The multi-generational planning extending across decades. Each operates with serpent wisdom about how institutional structures actually work.</w:t>
      </w:r>
    </w:p>
    <w:p>
      <w:pPr>
        <w:spacing w:after="180" w:line="320"/>
      </w:pPr>
      <w:r>
        <w:t xml:space="preserve">Harmless as doves means operating without malice, without deception, without compromise of integrity, without the corruption that strategic sophistication often produces. The covenant equity discipline. The architect serving the system rather than extracting from it. The family receiving farm and bounded position rather than wealth accumulation. The mission framework with broad confessional standard serving cross-denominational Christian community. The members benefiting substantively rather than nominally. The structures operating inside legitimate frameworks rather than in legal gray areas. The transparency about what the architecture actually does.</w:t>
      </w:r>
    </w:p>
    <w:p>
      <w:pPr>
        <w:spacing w:after="180" w:line="320"/>
      </w:pPr>
      <w:r>
        <w:t xml:space="preserve">Many organizations operate with one without the other and fail accordingly. Some operate with strategic sophistication that lacks integrity. They become extractive even while claiming legitimate purpose. The serpent wisdom turns malicious. Some operate with integrity that lacks strategic sophistication. They get crushed by the systems they cannot understand or navigate. The dove harmlessness becomes ineffective. The architecture operates with both. The combination produces architecture that can actually accomplish the work the architecture exists to do without becoming corrupted by the sophistication required to accomplish it.</w:t>
      </w:r>
    </w:p>
    <w:p>
      <w:pPr>
        <w:spacing w:after="180" w:line="320"/>
      </w:pPr>
      <w:r>
        <w:t xml:space="preserve">The discipline operates as constitutive structural commitment that subsequent leadership across generations cannot easily modify. The architectural foundation document captures the discipline. The board's responsibility through the architectural continuity seat preserves the discipline. The structural mechanisms operate inside the discipline. The discipline grounds the architecture's broader integrity across the multi-generational horizon.</w:t>
      </w:r>
    </w:p>
    <w:p>
      <w:pPr>
        <w:pStyle w:val="Heading1"/>
        <w:pageBreakBefore/>
        <w:spacing w:after="240" w:before="240"/>
      </w:pPr>
      <w:r>
        <w:t xml:space="preserve">Multi-Generational Horizon</w:t>
      </w:r>
    </w:p>
    <w:p>
      <w:pPr>
        <w:spacing w:after="180" w:line="320"/>
      </w:pPr>
      <w:r>
        <w:t xml:space="preserve">The architecture operates across decades and generations rather than across years. Foundation cell deployment launches the work. Subsequent regional cells extend the work through phase three. Multi-generational sustained execution produces the broader regional transformation through phase four.</w:t>
      </w:r>
    </w:p>
    <w:p>
      <w:pPr>
        <w:spacing w:after="180" w:line="320"/>
      </w:pPr>
      <w:r>
        <w:t xml:space="preserve">The horizon governs operational decisions. Decisions evaluate against multi-generational implications rather than against short-term operational efficiency alone. Capital deployment commits to long-term value creation rather than short-term return optimization. Personnel decisions evaluate against multi-decade engagement potential. Institutional partnerships develop with multi-decade relationship horizons.</w:t>
      </w:r>
    </w:p>
    <w:p>
      <w:pPr>
        <w:spacing w:after="180" w:line="320"/>
      </w:pPr>
      <w:r>
        <w:t xml:space="preserve">The horizon also governs how the architecture handles uncertainty. Specific outcomes depend on factors operating beyond direct control. Creative career success at scale supporting substantial capital deployment is uncertain. Subsequent cell deployment at scale supporting regional transformation operates inside substantial uncertainty. Regulatory frameworks supporting specific mechanisms may change. Political conditions affecting institutional engagement may shift. The horizon accommodates the uncertainty through faithful sustained execution across whatever specific conditions operate rather than through dependence on specific predicted conditions.</w:t>
      </w:r>
    </w:p>
    <w:p>
      <w:pPr>
        <w:pStyle w:val="Heading2"/>
        <w:spacing w:after="160" w:before="280"/>
      </w:pPr>
      <w:r>
        <w:t xml:space="preserve">Stewardship Discipline</w:t>
      </w:r>
    </w:p>
    <w:p>
      <w:pPr>
        <w:spacing w:after="180" w:line="320"/>
      </w:pPr>
      <w:r>
        <w:t xml:space="preserve">Each leadership generation stewards the architecture for the next generation rather than extracting from the architecture during their tenure. The founding generation establishes structural commitments. Subsequent leadership maintains the commitments. Each generation contributes to architectural development without subordinating the architecture to their specific generational priorities.</w:t>
      </w:r>
    </w:p>
    <w:p>
      <w:pPr>
        <w:spacing w:after="180" w:line="320"/>
      </w:pPr>
      <w:r>
        <w:t xml:space="preserve">The stewardship discipline operates through specific structural mechanisms. The architectural continuity board seat preserves architectural integrity across leadership transitions. The covenant equity discipline operates structurally rather than through individual leadership decisions. The mission framework engagement operates inside specific commitments that subsequent leadership cannot easily modify. The capital infrastructure operates inside specific frameworks with specific constitutive protections.</w:t>
      </w:r>
    </w:p>
    <w:p>
      <w:pPr>
        <w:pStyle w:val="Heading2"/>
        <w:spacing w:after="160" w:before="280"/>
      </w:pPr>
      <w:r>
        <w:t xml:space="preserve">Done State Definition</w:t>
      </w:r>
    </w:p>
    <w:p>
      <w:pPr>
        <w:spacing w:after="180" w:line="320"/>
      </w:pPr>
      <w:r>
        <w:t xml:space="preserve">The architecture's done state has specific structural meaning. The foundation cell reaches operational substance with comprehensive Christian business cluster across participating church facilities, producer cooperative member program at scale, worker progression structure operating across multiple skill categories, healthcare and broader services operating, self-insurance and credit union operating, capital infrastructure operating sustainably, and Lighthouse asset management mandate engagement operating at substantial scale supporting broader architectural deployment. Subsequent regional implementations have launched and are operating independently. Pattern documentation supports continued replication. The architecture is done when it operates at the scale that delivers substantial protective infrastructure across the broader Appalachian footprint and operates self-sustainably without requiring continued founder capital injection.</w:t>
      </w:r>
    </w:p>
    <w:p>
      <w:pPr>
        <w:spacing w:after="180" w:line="320"/>
      </w:pPr>
      <w:r>
        <w:t xml:space="preserve">The done state may take fifteen to thirty years from foundation cell launch depending on creative career trajectory and operational deployment pace. Creative career operates across this timeframe with capital flowing to architectural work continuously. Architectural work operates across this timeframe with deployment proceeding as capital and operational capacity support.</w:t>
      </w:r>
    </w:p>
    <w:p>
      <w:pPr>
        <w:spacing w:after="180" w:line="320"/>
      </w:pPr>
      <w:r>
        <w:t xml:space="preserve">After done, continued architectural operation extends through subsequent generations of leadership across phase four and beyond. Family inherits the farm and the board seat. The architecture operates self-sustainably. The done state is not retirement from the work. The done state is the work having reached substance that operates without requiring continued founder capital injection while continuing to develop across the multi-generational horizon.</w:t>
      </w:r>
    </w:p>
    <w:p>
      <w:pPr>
        <w:pStyle w:val="Heading1"/>
        <w:pageBreakBefore/>
        <w:spacing w:after="240" w:before="240"/>
      </w:pPr>
      <w:r>
        <w:t xml:space="preserve">Conclusion</w:t>
      </w:r>
    </w:p>
    <w:p>
      <w:pPr>
        <w:spacing w:after="180" w:line="320"/>
      </w:pPr>
      <w:r>
        <w:t xml:space="preserve">Lighthouse is the wealth management tool for the 99 percent. The architecture brings the benefits rich people have for their family to the working men and women of Appalachia. Same tools as commercial asset managers operating at scale. Opposite purpose serving member family wealth and broader community substance through floor raising at population scale across the multi-generational horizon.</w:t>
      </w:r>
    </w:p>
    <w:p>
      <w:pPr>
        <w:spacing w:after="180" w:line="320"/>
      </w:pPr>
      <w:r>
        <w:t xml:space="preserve">The work proceeds through specific strategic phases. Phase one fund deployment with cooperative initiative under JDA umbrella producing operational substance and reputation. Phase two Lighthouse asset manager scaling beginning with TRS Georgia and University System of Georgia mandate engagement. Phase three multi-state extension across the broader Appalachian region. Phase four multi-generational deployment producing substantial regional transformation at scale that approaches Luxembourg-equivalent prosperity vision.</w:t>
      </w:r>
    </w:p>
    <w:p>
      <w:pPr>
        <w:spacing w:after="180" w:line="320"/>
      </w:pPr>
      <w:r>
        <w:t xml:space="preserve">The work proceeds through specific structural mechanisms. The cooperative as comprehensive member institution. The TVA framing as infrastructure provider. The disintermediation cutting middleman extraction across multiple industries. The regional resource control producing capital flow internal to the region. The capital infrastructure including fund, token, credit union, self-insurance, whole life, and Lighthouse asset management operating inside legitimate frameworks at substantial scale. The member equity architecture with floor protection, accumulation through participation, and borrowing against balance supporting tax-efficient multi-generational wealth accumulation through proven tools deployed at cooperative scale. The platform replication supporting subsequent cells across the broader region. The multi-generational horizon governing all operational decisions.</w:t>
      </w:r>
    </w:p>
    <w:p>
      <w:pPr>
        <w:spacing w:after="180" w:line="320"/>
      </w:pPr>
      <w:r>
        <w:t xml:space="preserve">The work proceeds through specific people. The founding board base from the regional institutional fabric. The director carrying operational engagement. Specialized counsel ensuring compliant structures. Subsequent operational leadership across decades. Each operates inside the discipline that the architecture maintains.</w:t>
      </w:r>
    </w:p>
    <w:p>
      <w:pPr>
        <w:spacing w:after="180" w:line="320"/>
      </w:pPr>
      <w:r>
        <w:t xml:space="preserve">The architect serves the system. The system runs without the architect. The architect's family receives the bounded position as plenty rather than as foundation for vast wealth accumulation. The architecture operates across generations through subsequent leadership while preserving structural integrity through constitutive commitments.</w:t>
      </w:r>
    </w:p>
    <w:p>
      <w:pPr>
        <w:spacing w:after="180" w:line="320"/>
      </w:pPr>
      <w:r>
        <w:t xml:space="preserve">The work is faithful work. Inspired creative work that funds the architecture. Architectural work that produces structural framework. Theological foundation that grounds the work in something deeper than personal ambition. Specific regional position that supports institutional engagement. Specific family heritage connecting the work to actual regional substance. The combination operates at scale appropriate to the calling.</w:t>
      </w:r>
    </w:p>
    <w:p>
      <w:pPr>
        <w:spacing w:after="180" w:line="320"/>
      </w:pPr>
      <w:r>
        <w:t xml:space="preserve">Glory to God alone. The work is the planning Bible. Plan to execute.</w:t>
      </w:r>
    </w:p>
    <w:p>
      <w:pPr>
        <w:spacing w:after="180" w:line="320"/>
      </w:pPr>
      <w:r>
        <w:rPr>
          <w:i/>
          <w:iCs/>
        </w:rPr>
        <w:t xml:space="preserve">Free State of Dade funding free and prosperous Appalachia.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8"/>
        <w:szCs w:val="18"/>
      </w:rPr>
      <w:t xml:space="preserve">Lighthouse: Wealth Management for the 99 Percent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6"/>
      <w:szCs w:val="36"/>
    </w:rPr>
  </w:style>
  <w:style w:type="paragraph" w:styleId="Heading2">
    <w:name w:val="Heading 2"/>
    <w:basedOn w:val="Normal"/>
    <w:next w:val="Normal"/>
    <w:qFormat/>
    <w:pPr>
      <w:spacing w:after="180" w:before="280"/>
      <w:outlineLvl w:val="1"/>
    </w:pPr>
    <w:rPr>
      <w:rFonts w:ascii="Calibri" w:cs="Calibri" w:eastAsia="Calibri" w:hAnsi="Calibri"/>
      <w:b/>
      <w:bCs/>
      <w:sz w:val="30"/>
      <w:szCs w:val="30"/>
    </w:rPr>
  </w:style>
  <w:style w:type="paragraph" w:styleId="Heading3">
    <w:name w:val="Heading 3"/>
    <w:basedOn w:val="Normal"/>
    <w:next w:val="Normal"/>
    <w:qFormat/>
    <w:pPr>
      <w:spacing w:after="12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2026-04-26T23:11:16.734Z</dcterms:created>
  <dcterms:modified xsi:type="dcterms:W3CDTF">2026-04-26T23:11:16.735Z</dcterms:modified>
</cp:coreProperties>
</file>

<file path=docProps/custom.xml><?xml version="1.0" encoding="utf-8"?>
<Properties xmlns="http://schemas.openxmlformats.org/officeDocument/2006/custom-properties" xmlns:vt="http://schemas.openxmlformats.org/officeDocument/2006/docPropsVTypes"/>
</file>