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48"/>
          <w:szCs w:val="48"/>
        </w:rPr>
        <w:t xml:space="preserve">Northwest Georgia Regional Cooperative</w:t>
      </w:r>
    </w:p>
    <w:p>
      <w:pPr>
        <w:spacing w:after="480"/>
        <w:jc w:val="center"/>
      </w:pPr>
      <w:r>
        <w:rPr>
          <w:sz w:val="32"/>
          <w:szCs w:val="32"/>
        </w:rPr>
        <w:t xml:space="preserve">Architectural Foundation</w:t>
      </w:r>
    </w:p>
    <w:p>
      <w:pPr>
        <w:spacing w:after="480"/>
        <w:jc w:val="center"/>
      </w:pPr>
      <w:r>
        <w:rPr>
          <w:i/>
          <w:iCs/>
          <w:sz w:val="24"/>
          <w:szCs w:val="24"/>
        </w:rPr>
        <w:t xml:space="preserve">A regional industrial cooperative serving Catoosa, Walker, Dade, and Chattooga counties through covenant equity discipline, mission framework relational structure, and exponential node growth across the Appalachian footprint.</w:t>
      </w:r>
    </w:p>
    <w:p>
      <w:pPr>
        <w:spacing w:after="120"/>
        <w:jc w:val="center"/>
      </w:pPr>
      <w:r>
        <w:rPr>
          <w:sz w:val="24"/>
          <w:szCs w:val="24"/>
        </w:rPr>
        <w:t xml:space="preserve">Architectural Foundation Document</w:t>
      </w:r>
    </w:p>
    <w:p>
      <w:pPr>
        <w:spacing w:after="120"/>
        <w:jc w:val="center"/>
      </w:pPr>
      <w:r>
        <w:rPr>
          <w:sz w:val="24"/>
          <w:szCs w:val="24"/>
        </w:rPr>
        <w:t xml:space="preserve">Prepared for the Joint Development Authority</w:t>
      </w:r>
    </w:p>
    <w:p>
      <w:pPr>
        <w:pStyle w:val="Heading1"/>
        <w:pageBreakBefore/>
      </w:pPr>
      <w:r>
        <w:t xml:space="preserve">Architectural Principles</w:t>
      </w:r>
    </w:p>
    <w:p>
      <w:pPr>
        <w:spacing w:after="160"/>
      </w:pPr>
      <w:r>
        <w:t xml:space="preserve">This document captures the architectural foundation of a regional industrial cooperative serving northwest Georgia and adjacent regions. The cooperative operates as a private legal entity with covenant equity discipline. The cooperative coordinates with participating churches through a relational mission framework. The cooperative produces food, manufactures construction materials, operates healthcare infrastructure, builds and holds housing, and develops the broader regional industrial capability that serves the cooperative's member base and the wider regional community.</w:t>
      </w:r>
    </w:p>
    <w:p>
      <w:pPr>
        <w:spacing w:after="160"/>
      </w:pPr>
      <w:r>
        <w:t xml:space="preserve">The architecture is not a charity. The architecture is not a subsidy program. The architecture is a market structure that pays farmers, workers, and professionals fairly for what they produce and that absorbs structural risks that have prevented family farming and rural community life from operating sustainably under corporate competitive pressure for two generations.</w:t>
      </w:r>
    </w:p>
    <w:p>
      <w:pPr>
        <w:pStyle w:val="Heading2"/>
      </w:pPr>
      <w:r>
        <w:t xml:space="preserve">The strategic posture</w:t>
      </w:r>
    </w:p>
    <w:p>
      <w:pPr>
        <w:spacing w:after="160"/>
      </w:pPr>
      <w:r>
        <w:t xml:space="preserve">American agriculture is structurally vulnerable to a regional cooperative alternative. Corporate agricultural operators (Bayer, Corteva, Syngenta, BASF, Cargill, ADM, Tyson, Pilgrim's, Smithfield, JBS) depend on family farmers as their distributed production network. The corporations cannot grow their own crops at scale, raise their own animals at scale, or operate the production base directly. They need farmers.</w:t>
      </w:r>
    </w:p>
    <w:p>
      <w:pPr>
        <w:spacing w:after="160"/>
      </w:pPr>
      <w:r>
        <w:t xml:space="preserve">If farmers move to an alternative system, the corporations lose their production base. The corporations cannot eliminate the alternative system because the alternative is not a corporate competitor that can be acquired or undercut. The alternative is a network of farmers operating in covenant relationship with each other, with their churches, and with a cooperative framework that exists outside the corporate competitive geometry.</w:t>
      </w:r>
    </w:p>
    <w:p>
      <w:pPr>
        <w:spacing w:after="160"/>
      </w:pPr>
      <w:r>
        <w:t xml:space="preserve">The architecture is structured to capture this strategic opportunity. The architecture cuts off corporate suppliers at the farmer. The architecture optimizes for Christian farming communities, which constitute the demographic core of American agriculture. The architecture grows exponentially in nodes that cannot be eliminated by corporations because each node operates with structural integrity inside a distributed network.</w:t>
      </w:r>
    </w:p>
    <w:p>
      <w:pPr>
        <w:pStyle w:val="Heading2"/>
      </w:pPr>
      <w:r>
        <w:t xml:space="preserve">The methodology</w:t>
      </w:r>
    </w:p>
    <w:p>
      <w:pPr>
        <w:spacing w:after="160"/>
      </w:pPr>
      <w:r>
        <w:t xml:space="preserve">The architecture is built through a specific methodology. Begin with the end in mind. Architect both the maximum scope and the minimum first step. Design the pull execution. Complete the minimal first step and operate it well. Follow the plan until conditions warrant revision. Revise without fear when conditions warrant revision. The work is the planning Bible. Plan to execute.</w:t>
      </w:r>
    </w:p>
    <w:p>
      <w:pPr>
        <w:spacing w:after="160"/>
      </w:pPr>
      <w:r>
        <w:t xml:space="preserve">The architecture operates in deliberate seasons. Planning has its season. Execution has its season. Stewardship between reception and release has its season. Each season's work happens in its appropriate time.</w:t>
      </w:r>
    </w:p>
    <w:p>
      <w:pPr>
        <w:pStyle w:val="Heading2"/>
      </w:pPr>
      <w:r>
        <w:t xml:space="preserve">The architectural commitments</w:t>
      </w:r>
    </w:p>
    <w:p>
      <w:pPr>
        <w:spacing w:after="160"/>
      </w:pPr>
      <w:r>
        <w:t xml:space="preserve">Several specific commitments shape every operational decision the architecture makes.</w:t>
      </w:r>
    </w:p>
    <w:p>
      <w:pPr>
        <w:pStyle w:val="ListParagraph"/>
        <w:numPr>
          <w:ilvl w:val="0"/>
          <w:numId w:val="2"/>
        </w:numPr>
        <w:spacing w:after="120"/>
      </w:pPr>
      <w:r>
        <w:t xml:space="preserve">Covenant equity discipline. The cap table operates with founder equity diluting toward producer cooperative members across decades. Anti-dilution protections preserve member equity. Right of first offer governs equity transfers. Equity reflects sustained covenant relationship rather than financial extraction.</w:t>
      </w:r>
    </w:p>
    <w:p>
      <w:pPr>
        <w:pStyle w:val="ListParagraph"/>
        <w:numPr>
          <w:ilvl w:val="0"/>
          <w:numId w:val="2"/>
        </w:numPr>
        <w:spacing w:after="120"/>
      </w:pPr>
      <w:r>
        <w:t xml:space="preserve">Minimally extractive structural mechanisms. Every link in the cost stack is examined for unnecessary extraction. Producer pricing is fair. Member pricing is fair. Anchor account pricing is fair. Margins exist where margins serve operational sustainability. Margins do not exist as default extraction at every link.</w:t>
      </w:r>
    </w:p>
    <w:p>
      <w:pPr>
        <w:pStyle w:val="ListParagraph"/>
        <w:numPr>
          <w:ilvl w:val="0"/>
          <w:numId w:val="2"/>
        </w:numPr>
        <w:spacing w:after="120"/>
      </w:pPr>
      <w:r>
        <w:t xml:space="preserve">Generational horizon. Decisions are evaluated by what they leave to the children and grandchildren of current participants rather than by what they generate this quarter. Capital deployment matches multi-decade and multi-generation asset holding periods.</w:t>
      </w:r>
    </w:p>
    <w:p>
      <w:pPr>
        <w:pStyle w:val="ListParagraph"/>
        <w:numPr>
          <w:ilvl w:val="0"/>
          <w:numId w:val="2"/>
        </w:numPr>
        <w:spacing w:after="120"/>
      </w:pPr>
      <w:r>
        <w:t xml:space="preserve">Faith foundation as world physics. The architecture's structural integrity reflects covenant theology, biblical agrarian tradition, and the broader Christian institutional pattern. The faith foundation is load bearing across the architecture without being the architecture's institutional identity.</w:t>
      </w:r>
    </w:p>
    <w:p>
      <w:pPr>
        <w:pStyle w:val="ListParagraph"/>
        <w:numPr>
          <w:ilvl w:val="0"/>
          <w:numId w:val="2"/>
        </w:numPr>
        <w:spacing w:after="120"/>
      </w:pPr>
      <w:r>
        <w:t xml:space="preserve">Service rather than extraction by the architect. The architect does not capture disproportionate value from the architecture. The architect's economic position is among the producer cooperative members, the workers, the professionals, and the church partners. The architect's distinct role is the architectural work itself rather than disproportionate economic capture.</w:t>
      </w:r>
    </w:p>
    <w:p>
      <w:pPr>
        <w:pStyle w:val="Heading1"/>
        <w:pageBreakBefore/>
      </w:pPr>
      <w:r>
        <w:t xml:space="preserve">Institutional Structure</w:t>
      </w:r>
    </w:p>
    <w:p>
      <w:pPr>
        <w:spacing w:after="160"/>
      </w:pPr>
      <w:r>
        <w:t xml:space="preserve">The architecture operates through three integrated institutional structures. The cooperative as the primary legal and operational entity. The mission framework as the relational structure that operates alongside the cooperative. The integrated build partnership as the construction and material verticals partner. Each structure operates with specific legal form, specific governance, and specific relationships with the other structures.</w:t>
      </w:r>
    </w:p>
    <w:p>
      <w:pPr>
        <w:pStyle w:val="Heading2"/>
      </w:pPr>
      <w:r>
        <w:t xml:space="preserve">The cooperative as keystone institution</w:t>
      </w:r>
    </w:p>
    <w:p>
      <w:pPr>
        <w:spacing w:after="160"/>
      </w:pPr>
      <w:r>
        <w:t xml:space="preserve">The cooperative is the legal and operational entity that holds the architecture's heavy capital infrastructure. The cooperative is structured as a private holding company over operating subsidiaries with the producer cooperative as a separate legal entity under federal Subchapter T cooperative tax provisions for the parts of the operation that qualify.</w:t>
      </w:r>
    </w:p>
    <w:p>
      <w:pPr>
        <w:spacing w:after="160"/>
      </w:pPr>
      <w:r>
        <w:t xml:space="preserve">The cooperative carries the heavy capital. The processing facility, the milling and distribution hub, the preservation cluster, the rolling stock fleet, the Marion County terminal, the eventual ship and rail acquisitions, the barn depot network, the architecture provided housing, the construction material verticals, and the future mining and energy verticals as the architecture grows in those directions. All substantial capital infrastructure sits inside the cooperative because the cooperative is the institutional entity structurally suited to handle it.</w:t>
      </w:r>
    </w:p>
    <w:p>
      <w:pPr>
        <w:spacing w:after="160"/>
      </w:pPr>
      <w:r>
        <w:t xml:space="preserve">Producer cooperative members own their operations. They contribute production through the package structure. They build producer cooperative member equity over time. They do not bear the capital burden of the architecture's heavy infrastructure. The cooperative bears that burden because the cooperative operates at the scale where heavy capital deployment makes sense.</w:t>
      </w:r>
    </w:p>
    <w:p>
      <w:pPr>
        <w:spacing w:after="160"/>
      </w:pPr>
      <w:r>
        <w:t xml:space="preserve">Workers in the worker progression structure participate through wages, draws, and accumulating equity over time. They do not bear capital burden. The architecture provides them with housing, healthcare, food access, training, and the structured path toward ownership.</w:t>
      </w:r>
    </w:p>
    <w:p>
      <w:pPr>
        <w:pStyle w:val="Heading2"/>
      </w:pPr>
      <w:r>
        <w:t xml:space="preserve">The mission framework as relational structure</w:t>
      </w:r>
    </w:p>
    <w:p>
      <w:pPr>
        <w:spacing w:after="160"/>
      </w:pPr>
      <w:r>
        <w:t xml:space="preserve">The mission framework operates alongside the cooperative as the relational structure for participating churches. Any church that confesses Jesus is the Son of the Living God can use the framework. The confessional standard is the foundational confession that distinguishes the Christian church from anything else. It cuts across denominations including Roman Catholic, Eastern Orthodox, Oriental Orthodox, every Protestant tradition, every evangelical and Pentecostal tradition, every Black church tradition, and every immigrant church tradition that holds the foundational confession.</w:t>
      </w:r>
    </w:p>
    <w:p>
      <w:pPr>
        <w:spacing w:after="160"/>
      </w:pPr>
      <w:r>
        <w:t xml:space="preserve">Churches participate in covenant relationship rather than commercial contract. Pricing optimization happens through the relationship. Quality optimization happens through the relationship. The strength flows from working together rather than from negotiated commercial terms.</w:t>
      </w:r>
    </w:p>
    <w:p>
      <w:pPr>
        <w:spacing w:after="160"/>
      </w:pPr>
      <w:r>
        <w:t xml:space="preserve">Several specific elements of the framework are available to participating churches:</w:t>
      </w:r>
    </w:p>
    <w:p>
      <w:pPr>
        <w:pStyle w:val="ListParagraph"/>
        <w:numPr>
          <w:ilvl w:val="0"/>
          <w:numId w:val="2"/>
        </w:numPr>
        <w:spacing w:after="120"/>
      </w:pPr>
      <w:r>
        <w:t xml:space="preserve">Cooperative supply at member pricing for church meal programs, fellowship hall operations, supper clubs, community kitchens, and other church food service.</w:t>
      </w:r>
    </w:p>
    <w:p>
      <w:pPr>
        <w:pStyle w:val="ListParagraph"/>
        <w:numPr>
          <w:ilvl w:val="0"/>
          <w:numId w:val="2"/>
        </w:numPr>
        <w:spacing w:after="120"/>
      </w:pPr>
      <w:r>
        <w:t xml:space="preserve">Cooperative supply for church members through the church as the household demand aggregation point.</w:t>
      </w:r>
    </w:p>
    <w:p>
      <w:pPr>
        <w:pStyle w:val="ListParagraph"/>
        <w:numPr>
          <w:ilvl w:val="0"/>
          <w:numId w:val="2"/>
        </w:numPr>
        <w:spacing w:after="120"/>
      </w:pPr>
      <w:r>
        <w:t xml:space="preserve">Producer cooperative member access for church members who farm.</w:t>
      </w:r>
    </w:p>
    <w:p>
      <w:pPr>
        <w:pStyle w:val="ListParagraph"/>
        <w:numPr>
          <w:ilvl w:val="0"/>
          <w:numId w:val="2"/>
        </w:numPr>
        <w:spacing w:after="120"/>
      </w:pPr>
      <w:r>
        <w:t xml:space="preserve">Cooperative facility access where appropriate, including processing services, milling operations, and preservation infrastructure at member pricing.</w:t>
      </w:r>
    </w:p>
    <w:p>
      <w:pPr>
        <w:pStyle w:val="ListParagraph"/>
        <w:numPr>
          <w:ilvl w:val="0"/>
          <w:numId w:val="2"/>
        </w:numPr>
        <w:spacing w:after="120"/>
      </w:pPr>
      <w:r>
        <w:t xml:space="preserve">Educational and training resources including CTAE pipeline integration, the apprenticeship system, open source seed work, and technical support.</w:t>
      </w:r>
    </w:p>
    <w:p>
      <w:pPr>
        <w:pStyle w:val="ListParagraph"/>
        <w:numPr>
          <w:ilvl w:val="0"/>
          <w:numId w:val="2"/>
        </w:numPr>
        <w:spacing w:after="120"/>
      </w:pPr>
      <w:r>
        <w:t xml:space="preserve">Barn depot access where barns are located near participating churches.</w:t>
      </w:r>
    </w:p>
    <w:p>
      <w:pPr>
        <w:spacing w:after="160"/>
      </w:pPr>
      <w:r>
        <w:t xml:space="preserve">Churches own their property genuinely. The architecture's relationship to church owned property operates as a separate commercial relationship (supplier, coordination, partnership) that the church benefits from but does not control. Where churches acquire land that becomes barn nodes through the architecture's operational integration, the church genuinely owns the land and operates it for genuine church purposes while the architecture operates barn functions on appropriate portions through specific lease arrangements.</w:t>
      </w:r>
    </w:p>
    <w:p>
      <w:pPr>
        <w:spacing w:after="160"/>
      </w:pPr>
      <w:r>
        <w:t xml:space="preserve">The architecture does not direct churches. The architecture does not require churches to participate or to limit their participation. The architecture offers the framework, and churches that meet the confession use the framework to whatever extent serves their congregations.</w:t>
      </w:r>
    </w:p>
    <w:p>
      <w:pPr>
        <w:pStyle w:val="Heading2"/>
      </w:pPr>
      <w:r>
        <w:t xml:space="preserve">The integrated build partnership</w:t>
      </w:r>
    </w:p>
    <w:p>
      <w:pPr>
        <w:spacing w:after="160"/>
      </w:pPr>
      <w:r>
        <w:t xml:space="preserve">The integrated build partnership is the construction operations and material verticals partnership. The partnership controls four material verticals (timber, stone, concrete, copper) plus the broader construction services and waste-to-energy operations that support the architecture's construction at cost basis.</w:t>
      </w:r>
    </w:p>
    <w:p>
      <w:pPr>
        <w:spacing w:after="160"/>
      </w:pPr>
      <w:r>
        <w:t xml:space="preserve">The partnership operates as a co-founding equity participant in the broader architecture. The partnership's leadership carries operational responsibility for construction and materials across the architecture's deployment. The partnership's existing operations (the Sand Mountain quarry producing sandstone and limestone aggregate, the existing concrete operations, the construction services) become the foundation that the architecture's construction capability extends from.</w:t>
      </w:r>
    </w:p>
    <w:p>
      <w:pPr>
        <w:spacing w:after="160"/>
      </w:pPr>
      <w:r>
        <w:t xml:space="preserve">The architecture rides on the multimodal logistics that the partnership's operations require. Deadhead elimination on the partnership's freight operations supports the cooperative's distribution at cost basis advantages that the cooperative could not achieve operating logistics independently.</w:t>
      </w:r>
    </w:p>
    <w:p>
      <w:pPr>
        <w:pStyle w:val="Heading1"/>
        <w:pageBreakBefore/>
      </w:pPr>
      <w:r>
        <w:t xml:space="preserve">Governance</w:t>
      </w:r>
    </w:p>
    <w:p>
      <w:pPr>
        <w:spacing w:after="160"/>
      </w:pPr>
      <w:r>
        <w:t xml:space="preserve">The cooperative operates through a flat board structure with specialist seats. Each board member carries domain operational responsibility for a specific area. There is no conventional executive layer separating governance from operations. Board members are operationally responsible. The flat structure preserves operational discipline and prevents the bureaucratic accumulation that destroys cooperative governance over time.</w:t>
      </w:r>
    </w:p>
    <w:p>
      <w:pPr>
        <w:pStyle w:val="Heading2"/>
      </w:pPr>
      <w:r>
        <w:t xml:space="preserve">Specialist seats</w:t>
      </w:r>
    </w:p>
    <w:p>
      <w:pPr>
        <w:spacing w:after="160"/>
      </w:pPr>
      <w:r>
        <w:t xml:space="preserve">Specific specialist seats reflect the architecture's operational scope:</w:t>
      </w:r>
    </w:p>
    <w:p>
      <w:pPr>
        <w:pStyle w:val="ListParagraph"/>
        <w:numPr>
          <w:ilvl w:val="0"/>
          <w:numId w:val="2"/>
        </w:numPr>
        <w:spacing w:after="120"/>
      </w:pPr>
      <w:r>
        <w:t xml:space="preserve">Production operations seat. Producer cooperative member program, producer relationships, agricultural operations across the cooperative's footprint.</w:t>
      </w:r>
    </w:p>
    <w:p>
      <w:pPr>
        <w:pStyle w:val="ListParagraph"/>
        <w:numPr>
          <w:ilvl w:val="0"/>
          <w:numId w:val="2"/>
        </w:numPr>
        <w:spacing w:after="120"/>
      </w:pPr>
      <w:r>
        <w:t xml:space="preserve">Processing and distribution seat. The processing facility, the milling and distribution hub, the preservation cluster, the rolling stock fleet, and the broader distribution operations.</w:t>
      </w:r>
    </w:p>
    <w:p>
      <w:pPr>
        <w:pStyle w:val="ListParagraph"/>
        <w:numPr>
          <w:ilvl w:val="0"/>
          <w:numId w:val="2"/>
        </w:numPr>
        <w:spacing w:after="120"/>
      </w:pPr>
      <w:r>
        <w:t xml:space="preserve">Construction and materials seat. The four material verticals, the construction operations, the architecture provided housing, the integrated build partnership coordination.</w:t>
      </w:r>
    </w:p>
    <w:p>
      <w:pPr>
        <w:pStyle w:val="ListParagraph"/>
        <w:numPr>
          <w:ilvl w:val="0"/>
          <w:numId w:val="2"/>
        </w:numPr>
        <w:spacing w:after="120"/>
      </w:pPr>
      <w:r>
        <w:t xml:space="preserve">Healthcare seat. The doctor, dentist, and vet operations at every barn, the broader healthcare infrastructure, the benefits package administration.</w:t>
      </w:r>
    </w:p>
    <w:p>
      <w:pPr>
        <w:pStyle w:val="ListParagraph"/>
        <w:numPr>
          <w:ilvl w:val="0"/>
          <w:numId w:val="2"/>
        </w:numPr>
        <w:spacing w:after="120"/>
      </w:pPr>
      <w:r>
        <w:t xml:space="preserve">Mission framework seat. The relational structure with participating churches, the church partnership coordination, the broader regional church engagement.</w:t>
      </w:r>
    </w:p>
    <w:p>
      <w:pPr>
        <w:pStyle w:val="ListParagraph"/>
        <w:numPr>
          <w:ilvl w:val="0"/>
          <w:numId w:val="2"/>
        </w:numPr>
        <w:spacing w:after="120"/>
      </w:pPr>
      <w:r>
        <w:t xml:space="preserve">Worker progression seat. The four-stage worker progression structure, the apprenticeship program, the CTAE pipeline integration, the workforce development across the architecture's verticals.</w:t>
      </w:r>
    </w:p>
    <w:p>
      <w:pPr>
        <w:pStyle w:val="ListParagraph"/>
        <w:numPr>
          <w:ilvl w:val="0"/>
          <w:numId w:val="2"/>
        </w:numPr>
        <w:spacing w:after="120"/>
      </w:pPr>
      <w:r>
        <w:t xml:space="preserve">Expansion seat. The contiguous geographic expansion, the non-contiguous cell development, the regional industrial heritage assessment, the vertical addition coordination.</w:t>
      </w:r>
    </w:p>
    <w:p>
      <w:pPr>
        <w:pStyle w:val="ListParagraph"/>
        <w:numPr>
          <w:ilvl w:val="0"/>
          <w:numId w:val="2"/>
        </w:numPr>
        <w:spacing w:after="120"/>
      </w:pPr>
      <w:r>
        <w:t xml:space="preserve">Architectural continuity seat. The founder family seat that preserves architectural memory and founding principles across generations. One vote among the board with no veto authority.</w:t>
      </w:r>
    </w:p>
    <w:p>
      <w:pPr>
        <w:spacing w:after="160"/>
      </w:pPr>
      <w:r>
        <w:t xml:space="preserve">The seat structure can expand as the architecture grows. Additional verticals require additional seats. International cells require coordination seats. The structure remains flat with specialist responsibility rather than developing executive layers.</w:t>
      </w:r>
    </w:p>
    <w:p>
      <w:pPr>
        <w:pStyle w:val="Heading2"/>
      </w:pPr>
      <w:r>
        <w:t xml:space="preserve">Consensus model</w:t>
      </w:r>
    </w:p>
    <w:p>
      <w:pPr>
        <w:spacing w:after="160"/>
      </w:pPr>
      <w:r>
        <w:t xml:space="preserve">The board operates through consensus rather than through majority vote. Decisions hold because the board reaches agreement. The consensus model is what Locust contributed to the architectural pattern in The Line, drawn from the Cherokee tradition of governance that has operated for over a thousand years. Consensus is slower than voting. Consensus also holds when voting fragments. The architecture operates on a horizon that requires consensus integrity rather than voting expediency.</w:t>
      </w:r>
    </w:p>
    <w:p>
      <w:pPr>
        <w:pStyle w:val="Heading2"/>
      </w:pPr>
      <w:r>
        <w:t xml:space="preserve">Architectural continuity seat</w:t>
      </w:r>
    </w:p>
    <w:p>
      <w:pPr>
        <w:spacing w:after="160"/>
      </w:pPr>
      <w:r>
        <w:t xml:space="preserve">The founder family holds a permanent board seat that passes within the family across generations. The seat carries voice in governance and serves as the architectural memory that founding principles persist across leadership transitions. The seat's specific function and limits:</w:t>
      </w:r>
    </w:p>
    <w:p>
      <w:pPr>
        <w:pStyle w:val="ListParagraph"/>
        <w:numPr>
          <w:ilvl w:val="0"/>
          <w:numId w:val="2"/>
        </w:numPr>
        <w:spacing w:after="120"/>
      </w:pPr>
      <w:r>
        <w:t xml:space="preserve">Voice in governance decisions. Participation in board meetings, contribution to discussions, and one vote among the board on matters that come to vote.</w:t>
      </w:r>
    </w:p>
    <w:p>
      <w:pPr>
        <w:pStyle w:val="ListParagraph"/>
        <w:numPr>
          <w:ilvl w:val="0"/>
          <w:numId w:val="2"/>
        </w:numPr>
        <w:spacing w:after="120"/>
      </w:pPr>
      <w:r>
        <w:t xml:space="preserve">No veto authority. The seat does not control decisions. The board operates through consensus among all seat holders.</w:t>
      </w:r>
    </w:p>
    <w:p>
      <w:pPr>
        <w:pStyle w:val="ListParagraph"/>
        <w:numPr>
          <w:ilvl w:val="0"/>
          <w:numId w:val="2"/>
        </w:numPr>
        <w:spacing w:after="120"/>
      </w:pPr>
      <w:r>
        <w:t xml:space="preserve">No economic claim beyond cooperative member position. The family operates a producer cooperative member operation on the same terms as other members. The seat does not provide distributions, dividends, or other economic benefits.</w:t>
      </w:r>
    </w:p>
    <w:p>
      <w:pPr>
        <w:pStyle w:val="ListParagraph"/>
        <w:numPr>
          <w:ilvl w:val="0"/>
          <w:numId w:val="2"/>
        </w:numPr>
        <w:spacing w:after="120"/>
      </w:pPr>
      <w:r>
        <w:t xml:space="preserve">No operational authority. Day to day operations run through operational leadership. The board provides governance oversight rather than operational management.</w:t>
      </w:r>
    </w:p>
    <w:p>
      <w:pPr>
        <w:pStyle w:val="ListParagraph"/>
        <w:numPr>
          <w:ilvl w:val="0"/>
          <w:numId w:val="2"/>
        </w:numPr>
        <w:spacing w:after="120"/>
      </w:pPr>
      <w:r>
        <w:t xml:space="preserve">Architectural memory. The seat holder maintains knowledge of the architectural pattern, ensures decisions reflect founding principles, and serves as keeper of founding documents and institutional continuity.</w:t>
      </w:r>
    </w:p>
    <w:p>
      <w:pPr>
        <w:spacing w:after="160"/>
      </w:pPr>
      <w:r>
        <w:t xml:space="preserve">Succession within the family operates through family deliberation about which family member is best suited for each generation's role. The seat passes through the family rather than transferring outside it. If no family member is suited in a specific generation, the seat sits vacant until family stewardship is restored. The architecture's broader governance continues regardless.</w:t>
      </w:r>
    </w:p>
    <w:p>
      <w:pPr>
        <w:pStyle w:val="Heading2"/>
      </w:pPr>
      <w:r>
        <w:t xml:space="preserve">Cap table</w:t>
      </w:r>
    </w:p>
    <w:p>
      <w:pPr>
        <w:spacing w:after="160"/>
      </w:pPr>
      <w:r>
        <w:t xml:space="preserve">The cap table includes:</w:t>
      </w:r>
    </w:p>
    <w:p>
      <w:pPr>
        <w:pStyle w:val="ListParagraph"/>
        <w:numPr>
          <w:ilvl w:val="0"/>
          <w:numId w:val="2"/>
        </w:numPr>
        <w:spacing w:after="120"/>
      </w:pPr>
      <w:r>
        <w:t xml:space="preserve">Founding architect equity, diluting across decades toward zero as producer member equity accumulates.</w:t>
      </w:r>
    </w:p>
    <w:p>
      <w:pPr>
        <w:pStyle w:val="ListParagraph"/>
        <w:numPr>
          <w:ilvl w:val="0"/>
          <w:numId w:val="2"/>
        </w:numPr>
        <w:spacing w:after="120"/>
      </w:pPr>
      <w:r>
        <w:t xml:space="preserve">Integrated build partner equity as co-founder participating across the architecture's construction and materials operations.</w:t>
      </w:r>
    </w:p>
    <w:p>
      <w:pPr>
        <w:pStyle w:val="ListParagraph"/>
        <w:numPr>
          <w:ilvl w:val="0"/>
          <w:numId w:val="2"/>
        </w:numPr>
        <w:spacing w:after="120"/>
      </w:pPr>
      <w:r>
        <w:t xml:space="preserve">Producer cooperative member equity, building over time through per-head, per-acre, and patronage allocations as members participate in cooperative operations.</w:t>
      </w:r>
    </w:p>
    <w:p>
      <w:pPr>
        <w:pStyle w:val="ListParagraph"/>
        <w:numPr>
          <w:ilvl w:val="0"/>
          <w:numId w:val="2"/>
        </w:numPr>
        <w:spacing w:after="120"/>
      </w:pPr>
      <w:r>
        <w:t xml:space="preserve">Patient capital partner equity at below-market return expectations matched to the architecture's multi-decade operational horizon.</w:t>
      </w:r>
    </w:p>
    <w:p>
      <w:pPr>
        <w:pStyle w:val="ListParagraph"/>
        <w:numPr>
          <w:ilvl w:val="0"/>
          <w:numId w:val="2"/>
        </w:numPr>
        <w:spacing w:after="120"/>
      </w:pPr>
      <w:r>
        <w:t xml:space="preserve">Reciprocal anchor equity with the four-platform mechanism partners (AssetCo, Stability OS, Barn Ecosystem, Provident Precision) where structural alignment supports the reciprocal arrangement.</w:t>
      </w:r>
    </w:p>
    <w:p>
      <w:pPr>
        <w:spacing w:after="160"/>
      </w:pPr>
      <w:r>
        <w:t xml:space="preserve">Anti-dilution protections preserve producer cooperative member equity through ownership progressions. Right of first offer governs equity transfers. Equity reflects sustained covenant relationship rather than financial speculation.</w:t>
      </w:r>
    </w:p>
    <w:p>
      <w:pPr>
        <w:pStyle w:val="Heading1"/>
        <w:pageBreakBefore/>
      </w:pPr>
      <w:r>
        <w:t xml:space="preserve">Producer Cooperative Member Program</w:t>
      </w:r>
    </w:p>
    <w:p>
      <w:pPr>
        <w:spacing w:after="160"/>
      </w:pPr>
      <w:r>
        <w:t xml:space="preserve">The producer cooperative member program is the architecture's primary operational mechanism for capturing the regional production base from corporate agricultural systems. The program offers an integrated package that solves the transition problem that has prevented family farms from leaving corporate agricultural dependency for two generations.</w:t>
      </w:r>
    </w:p>
    <w:p>
      <w:pPr>
        <w:pStyle w:val="Heading2"/>
      </w:pPr>
      <w:r>
        <w:t xml:space="preserve">The strategic concentration</w:t>
      </w:r>
    </w:p>
    <w:p>
      <w:pPr>
        <w:spacing w:after="160"/>
      </w:pPr>
      <w:r>
        <w:t xml:space="preserve">There are approximately 1.88 million U.S. farms in 2024, with 97 percent classified as family farms. Small family farms (under $350,000 gross cash farm income) account for 86 percent of all farms but produce only 14 percent of agricultural value. Mid and large family farms (approximately 170,000 operations representing under 14 percent of farm count) produce more than half of all agricultural value. Large family farms produce 77 percent of dairy value, 71 percent of cotton, 52 percent of cash grains and soybeans, 39 percent of beef, and 37 percent of hogs.</w:t>
      </w:r>
    </w:p>
    <w:p>
      <w:pPr>
        <w:spacing w:after="160"/>
      </w:pPr>
      <w:r>
        <w:t xml:space="preserve">The architecture concentrates recruitment on the mid and large family farms that produce the majority of agricultural value. Capturing these operations changes the food system meaningfully. Each captured operation represents substantial production capacity. The capital deployment per recruitment is substantial but the production value generated justifies the investment.</w:t>
      </w:r>
    </w:p>
    <w:p>
      <w:pPr>
        <w:spacing w:after="160"/>
      </w:pPr>
      <w:r>
        <w:t xml:space="preserve">Small family farms are served through different mechanisms appropriate to their scale. Cooperative supply at member pricing through their own production. Producer cooperative membership at appropriate scale. Mission framework participation through their churches. The worker progression structure for family members entering agricultural careers. Small family farm participation does not require the deep capital commitment that mid and large family farm transitions require.</w:t>
      </w:r>
    </w:p>
    <w:p>
      <w:pPr>
        <w:pStyle w:val="Heading2"/>
      </w:pPr>
      <w:r>
        <w:t xml:space="preserve">The package</w:t>
      </w:r>
    </w:p>
    <w:p>
      <w:pPr>
        <w:spacing w:after="160"/>
      </w:pPr>
      <w:r>
        <w:t xml:space="preserve">The package is what is necessary to get farmers to change over from corporate agricultural dependency to cooperative production and to stay profitable until the transition is complete. The package lets families make a set amount each month without stress. In return, the cooperative becomes the farmer's primary customer.</w:t>
      </w:r>
    </w:p>
    <w:p>
      <w:pPr>
        <w:spacing w:after="160"/>
      </w:pPr>
      <w:r>
        <w:t xml:space="preserve">The package operates through draws against production rather than through salary employment. The farmer remains an independent producer in covenant relationship with the cooperative. The cooperative provides the market structure that makes the production economically viable. The trade is mutual. Both sides commit to each other through specific terms.</w:t>
      </w:r>
    </w:p>
    <w:p>
      <w:pPr>
        <w:pStyle w:val="Heading3"/>
      </w:pPr>
      <w:r>
        <w:t xml:space="preserve">Components of the package</w:t>
      </w:r>
    </w:p>
    <w:p>
      <w:pPr>
        <w:spacing w:after="160"/>
      </w:pPr>
      <w:r>
        <w:t xml:space="preserve">The package includes specific integrated components:</w:t>
      </w:r>
    </w:p>
    <w:p>
      <w:pPr>
        <w:pStyle w:val="ListParagraph"/>
        <w:numPr>
          <w:ilvl w:val="0"/>
          <w:numId w:val="2"/>
        </w:numPr>
        <w:spacing w:after="120"/>
      </w:pPr>
      <w:r>
        <w:t xml:space="preserve">Set monthly draws against production value. The amount is calibrated so the family can operate without financial stress on a sustained basis. Typical range is $4,000 to $7,000 per month depending on operation scale and family situation. The amount continues throughout the year regardless of harvest timing or market fluctuations. The architecture absorbs cash flow timing risk and market fluctuation risk that would otherwise leave the family with unpredictable income.</w:t>
      </w:r>
    </w:p>
    <w:p>
      <w:pPr>
        <w:pStyle w:val="ListParagraph"/>
        <w:numPr>
          <w:ilvl w:val="0"/>
          <w:numId w:val="2"/>
        </w:numPr>
        <w:spacing w:after="120"/>
      </w:pPr>
      <w:r>
        <w:t xml:space="preserve">Year-end reconciliation against actual production value. If the operation produced more value than cumulative draws, the family receives the difference promptly. If the operation produced less than cumulative draws, the difference carries forward at terms that do not punish the family for the shortfall. Transition insurance covers catastrophic shortfalls during the transition period.</w:t>
      </w:r>
    </w:p>
    <w:p>
      <w:pPr>
        <w:pStyle w:val="ListParagraph"/>
        <w:numPr>
          <w:ilvl w:val="0"/>
          <w:numId w:val="2"/>
        </w:numPr>
        <w:spacing w:after="120"/>
      </w:pPr>
      <w:r>
        <w:t xml:space="preserve">Comprehensive benefits. Health insurance covering the farmer and family. Retirement contributions. Disability coverage. Dental and vision coverage through the barn depot infrastructure. The benefits package is comparable to what salaried professional employees receive. Family farms have historically lacked access to comprehensive benefits because commodity production margins did not support them. The architecture provides them as part of the structural commitment.</w:t>
      </w:r>
    </w:p>
    <w:p>
      <w:pPr>
        <w:pStyle w:val="ListParagraph"/>
        <w:numPr>
          <w:ilvl w:val="0"/>
          <w:numId w:val="2"/>
        </w:numPr>
        <w:spacing w:after="120"/>
      </w:pPr>
      <w:r>
        <w:t xml:space="preserve">Transition insurance up to $1 million per operation. Coverage absorbs catastrophic losses during the transition from corporate dependency to cooperative production. Crop failure during the first season under new practices. Equipment incompatibility with new crops. Market fluctuations during transition. Time required to learn new production patterns. The insurance is structural rather than contingent. The farmer can transition without bearing the catastrophic risk that has prevented this transition at scale.</w:t>
      </w:r>
    </w:p>
    <w:p>
      <w:pPr>
        <w:pStyle w:val="ListParagraph"/>
        <w:numPr>
          <w:ilvl w:val="0"/>
          <w:numId w:val="2"/>
        </w:numPr>
        <w:spacing w:after="120"/>
      </w:pPr>
      <w:r>
        <w:t xml:space="preserve">Primary customer commitment from the farmer. The farmer commits the majority of production to the cooperative as the primary buyer. The farmer plans operations around cooperative demand. The farmer is not playing the cooperative against commodity markets or corporate buyers. The relationship is covenant rather than transactional.</w:t>
      </w:r>
    </w:p>
    <w:p>
      <w:pPr>
        <w:pStyle w:val="ListParagraph"/>
        <w:numPr>
          <w:ilvl w:val="0"/>
          <w:numId w:val="2"/>
        </w:numPr>
        <w:spacing w:after="120"/>
      </w:pPr>
      <w:r>
        <w:t xml:space="preserve">Cooperative governance participation. Members participate in cooperative governance through specialist seats and through the broader cooperative governance structure. Members have voice in the cooperative's direction.</w:t>
      </w:r>
    </w:p>
    <w:p>
      <w:pPr>
        <w:pStyle w:val="ListParagraph"/>
        <w:numPr>
          <w:ilvl w:val="0"/>
          <w:numId w:val="2"/>
        </w:numPr>
        <w:spacing w:after="120"/>
      </w:pPr>
      <w:r>
        <w:t xml:space="preserve">Producer cooperative member equity accumulation. Each year of production contributes to accumulating member equity. The equity builds toward majority producer ownership across decades. Anti-dilution protections preserve member equity. Right of first offer governs transfers.</w:t>
      </w:r>
    </w:p>
    <w:p>
      <w:pPr>
        <w:pStyle w:val="Heading2"/>
      </w:pPr>
      <w:r>
        <w:t xml:space="preserve">Land redirection</w:t>
      </w:r>
    </w:p>
    <w:p>
      <w:pPr>
        <w:spacing w:after="160"/>
      </w:pPr>
      <w:r>
        <w:t xml:space="preserve">The cooperative redirects regional farmland from commodity export crops toward food production for regional consumption. The current corporate agricultural system runs on commodity crops (soybeans, corn, cotton, wheat) for export and processing into industrial inputs. The path from farmland to food is long, indirect, and dominated by corporate processors at every stage.</w:t>
      </w:r>
    </w:p>
    <w:p>
      <w:pPr>
        <w:spacing w:after="160"/>
      </w:pPr>
      <w:r>
        <w:t xml:space="preserve">The architecture redirects farmland to producing food the regional community actually eats directly. Vegetables. Fruit. Beef. Pork. Poultry. Dairy. Eggs. Grain milled for bread, grits, and cornmeal rather than processed into industrial feedstock. Beans. The crops and animals that show up on the cafeteria plate, on the dinner table, and in the church fellowship hall.</w:t>
      </w:r>
    </w:p>
    <w:p>
      <w:pPr>
        <w:spacing w:after="160"/>
      </w:pPr>
      <w:r>
        <w:t xml:space="preserve">Several specific land use shifts that the architecture enables:</w:t>
      </w:r>
    </w:p>
    <w:p>
      <w:pPr>
        <w:pStyle w:val="ListParagraph"/>
        <w:numPr>
          <w:ilvl w:val="0"/>
          <w:numId w:val="2"/>
        </w:numPr>
        <w:spacing w:after="120"/>
      </w:pPr>
      <w:r>
        <w:t xml:space="preserve">Existing soybean and corn acreage shifts toward food production. Corn for cornmeal and grits and animal feed. Beans (pinto, black, navy, lima, butter) for cooperative dry pack and canning. Wheat for cooperative milling.</w:t>
      </w:r>
    </w:p>
    <w:p>
      <w:pPr>
        <w:pStyle w:val="ListParagraph"/>
        <w:numPr>
          <w:ilvl w:val="0"/>
          <w:numId w:val="2"/>
        </w:numPr>
        <w:spacing w:after="120"/>
      </w:pPr>
      <w:r>
        <w:t xml:space="preserve">Pasture and grazing land for cattle, sheep, and goat operations under regenerative management. The pasture produces meat for the cooperative processing facility and produces soil health that supports long-term land stewardship.</w:t>
      </w:r>
    </w:p>
    <w:p>
      <w:pPr>
        <w:pStyle w:val="ListParagraph"/>
        <w:numPr>
          <w:ilvl w:val="0"/>
          <w:numId w:val="2"/>
        </w:numPr>
        <w:spacing w:after="120"/>
      </w:pPr>
      <w:r>
        <w:t xml:space="preserve">Vegetable production at meaningful regional scale. Cabbage, potatoes, sweet potatoes, Brussels sprouts, collards, mustard, turnip, kale, tomatoes, peppers, squash, okra, beans (green, lima), sweet corn, onions, garlic, herbs, and specialty vegetables for ethnic cooking traditions in the regional service area.</w:t>
      </w:r>
    </w:p>
    <w:p>
      <w:pPr>
        <w:pStyle w:val="ListParagraph"/>
        <w:numPr>
          <w:ilvl w:val="0"/>
          <w:numId w:val="2"/>
        </w:numPr>
        <w:spacing w:after="120"/>
      </w:pPr>
      <w:r>
        <w:t xml:space="preserve">Fruit production through regional orchards and berry operations. Apples for cooperative apple juice and dehydration. Peaches for canning and freezing. Berries for freezing and freeze drying.</w:t>
      </w:r>
    </w:p>
    <w:p>
      <w:pPr>
        <w:pStyle w:val="ListParagraph"/>
        <w:numPr>
          <w:ilvl w:val="0"/>
          <w:numId w:val="2"/>
        </w:numPr>
        <w:spacing w:after="120"/>
      </w:pPr>
      <w:r>
        <w:t xml:space="preserve">Specialty crops fitting regional conditions and cooperative supply chain. Hops for the brewery. Barley for malting if regional adaptation supports it. Sunflowers for oil. Other specialty crops as the architecture matures.</w:t>
      </w:r>
    </w:p>
    <w:p>
      <w:pPr>
        <w:pStyle w:val="Heading2"/>
      </w:pPr>
      <w:r>
        <w:t xml:space="preserve">Member family construction support</w:t>
      </w:r>
    </w:p>
    <w:p>
      <w:pPr>
        <w:spacing w:after="160"/>
      </w:pPr>
      <w:r>
        <w:t xml:space="preserve">Producer cooperative member families have land. The architecture supports member family building projects on member family land at cost basis pricing. A family can build a house for adult children, grandparents, or extended family on family land using the architecture's construction support. The cost is dramatically lower than commercial construction because the architecture's verticals and infrastructure capture the value chain that commercial construction loses to extractive intermediaries.</w:t>
      </w:r>
    </w:p>
    <w:p>
      <w:pPr>
        <w:spacing w:after="160"/>
      </w:pPr>
      <w:r>
        <w:t xml:space="preserve">Components of the construction support:</w:t>
      </w:r>
    </w:p>
    <w:p>
      <w:pPr>
        <w:pStyle w:val="ListParagraph"/>
        <w:numPr>
          <w:ilvl w:val="0"/>
          <w:numId w:val="2"/>
        </w:numPr>
        <w:spacing w:after="120"/>
      </w:pPr>
      <w:r>
        <w:t xml:space="preserve">Materials at cost basis from the architecture's verticals. Timber from forestry and sawmill operations. Stone from the quarry and fabrication. Concrete from the batch plants. Copper from fabrication. The materials cost dramatically less than commercial supplier pricing.</w:t>
      </w:r>
    </w:p>
    <w:p>
      <w:pPr>
        <w:pStyle w:val="ListParagraph"/>
        <w:numPr>
          <w:ilvl w:val="0"/>
          <w:numId w:val="2"/>
        </w:numPr>
        <w:spacing w:after="120"/>
      </w:pPr>
      <w:r>
        <w:t xml:space="preserve">Construction crews from the architecture's construction operations. Labor at cost basis rather than commercial residential construction markup.</w:t>
      </w:r>
    </w:p>
    <w:p>
      <w:pPr>
        <w:pStyle w:val="ListParagraph"/>
        <w:numPr>
          <w:ilvl w:val="0"/>
          <w:numId w:val="2"/>
        </w:numPr>
        <w:spacing w:after="120"/>
      </w:pPr>
      <w:r>
        <w:t xml:space="preserve">Design capability. The architecture's standardized house designs with passive solar orientation, geothermal integration, generational construction specifications, and the integrated material palette become available without separate architect engagement.</w:t>
      </w:r>
    </w:p>
    <w:p>
      <w:pPr>
        <w:pStyle w:val="ListParagraph"/>
        <w:numPr>
          <w:ilvl w:val="0"/>
          <w:numId w:val="2"/>
        </w:numPr>
        <w:spacing w:after="120"/>
      </w:pPr>
      <w:r>
        <w:t xml:space="preserve">Permitting and regulatory support through the architecture's specialized staff.</w:t>
      </w:r>
    </w:p>
    <w:p>
      <w:pPr>
        <w:pStyle w:val="ListParagraph"/>
        <w:numPr>
          <w:ilvl w:val="0"/>
          <w:numId w:val="2"/>
        </w:numPr>
        <w:spacing w:after="120"/>
      </w:pPr>
      <w:r>
        <w:t xml:space="preserve">Financing options. Direct construction financing from the cooperative at favorable terms, guarantees that support member access to conventional financing on better terms, or specific cooperative financing structures that handle family land complexity.</w:t>
      </w:r>
    </w:p>
    <w:p>
      <w:pPr>
        <w:spacing w:after="160"/>
      </w:pPr>
      <w:r>
        <w:t xml:space="preserve">A 2,000 to 2,500 square foot house at conventional residential construction cost runs $300,000 to $500,000 currently. The same house through the architecture's support costs approximately $150,000 to $250,000 at standard specification. Higher specification construction (poured concrete shells, stone veneer, slate roofs, copper rain handling and plumbing) at $500,000 to $800,000 commercial cost runs approximately $250,000 to $450,000 through the architecture. Cost reduction is roughly 40 to 60 percent at standard specification and similar percentage at higher specification.</w:t>
      </w:r>
    </w:p>
    <w:p>
      <w:pPr>
        <w:spacing w:after="160"/>
      </w:pPr>
      <w:r>
        <w:t xml:space="preserve">The mechanism strengthens the producer cooperative member relationship across decades. Member families build family housing on family land at sustainable cost. The multi-generational family land pattern that conventional construction economics breaks down is restored through the architecture's support. Member family wealth that would have flowed to commercial builders, suppliers, and financiers stays with member families.</w:t>
      </w:r>
    </w:p>
    <w:p>
      <w:pPr>
        <w:pStyle w:val="Heading1"/>
        <w:pageBreakBefore/>
      </w:pPr>
      <w:r>
        <w:t xml:space="preserve">Worker Progression Structure</w:t>
      </w:r>
    </w:p>
    <w:p>
      <w:pPr>
        <w:spacing w:after="160"/>
      </w:pPr>
      <w:r>
        <w:t xml:space="preserve">The worker progression structure provides a path from work to production to ownership across four stages. Anyone who wants to work eats. The architecture provides the path. The worker provides the labor and the willingness to develop. Across the path the worker progresses from arriving as a worker to owning their own agricultural operation as a producer cooperative member.</w:t>
      </w:r>
    </w:p>
    <w:p>
      <w:pPr>
        <w:pStyle w:val="Heading2"/>
      </w:pPr>
      <w:r>
        <w:t xml:space="preserve">Stage one: Worker on architecture operations</w:t>
      </w:r>
    </w:p>
    <w:p>
      <w:pPr>
        <w:spacing w:after="160"/>
      </w:pPr>
      <w:r>
        <w:t xml:space="preserve">The person joins the architecture as a worker. Operations include the kitchen, the milling and distribution hub, the processing facility, the preservation cluster, the rolling stock fleet, the barn depots, and any other architecture operation requiring labor. Wages at sustainable levels (approximately $15 to $25 per hour at entry, with progression based on skill and tenure).</w:t>
      </w:r>
    </w:p>
    <w:p>
      <w:pPr>
        <w:spacing w:after="160"/>
      </w:pPr>
      <w:r>
        <w:t xml:space="preserve">Stage one is open to anyone who wants to work. The person does not need agricultural background, capital, land, or specific skills. They need willingness to work and reasonable physical capability for the operations they participate in. The architecture provides on-the-job training. The worker lives in architecture-owned housing at sustainable rates that reflect participation in the architecture rather than market-rate extraction.</w:t>
      </w:r>
    </w:p>
    <w:p>
      <w:pPr>
        <w:spacing w:after="160"/>
      </w:pPr>
      <w:r>
        <w:t xml:space="preserve">The worker eats well. The architecture's food production includes the food the workers eat. Cafeteria operations at the barn depots and at the architecture's main facilities serve workers as the primary customer base. The food is the cooperative's own food at the cooperative's cost basis. Workers eat regional southern food, fresh produce from the farms, meat from the cooperative processing facility, bread from cooperative-milled flour, all at price points that working wages afford easily.</w:t>
      </w:r>
    </w:p>
    <w:p>
      <w:pPr>
        <w:pStyle w:val="Heading2"/>
      </w:pPr>
      <w:r>
        <w:t xml:space="preserve">Stage two: Apprenticeship to specific function</w:t>
      </w:r>
    </w:p>
    <w:p>
      <w:pPr>
        <w:spacing w:after="160"/>
      </w:pPr>
      <w:r>
        <w:t xml:space="preserve">After some period in stage one (typically six months to two years depending on progression and operational needs), the worker can move into apprenticeship in a specific agricultural or trade function. Cattle operations. Pork operations. Vegetable production. Dairy. Orchards. Specialty crops. Construction trades. Processing operations. Whatever the architecture's operations require.</w:t>
      </w:r>
    </w:p>
    <w:p>
      <w:pPr>
        <w:spacing w:after="160"/>
      </w:pPr>
      <w:r>
        <w:t xml:space="preserve">The apprenticeship pairs the apprentice with an experienced producer cooperative member or skilled tradesperson who teaches the work directly. Knowledge transfers through hands on the work in the traditional apprenticeship pattern. The apprentice continues to earn wages with rates adjusted for apprenticeship status. The apprentice continues in architecture-owned housing or moves to apprenticeship-appropriate housing depending on the placement.</w:t>
      </w:r>
    </w:p>
    <w:p>
      <w:pPr>
        <w:pStyle w:val="Heading3"/>
      </w:pPr>
      <w:r>
        <w:t xml:space="preserve">Farm apprenticeship through producer cooperative member family hosting</w:t>
      </w:r>
    </w:p>
    <w:p>
      <w:pPr>
        <w:spacing w:after="160"/>
      </w:pPr>
      <w:r>
        <w:t xml:space="preserve">A specific stage two pathway operates through producer cooperative member family hosting. The architecture maintains a pool of apprentice candidates. Producer cooperative member families who host apprentice housing on their farms select from the pool. The selected apprentice moves into farm housing operated by the architecture and works on the farm under the producer cooperative member family's direction.</w:t>
      </w:r>
    </w:p>
    <w:p>
      <w:pPr>
        <w:spacing w:after="160"/>
      </w:pPr>
      <w:r>
        <w:t xml:space="preserve">Triangulated relationship structure:</w:t>
      </w:r>
    </w:p>
    <w:p>
      <w:pPr>
        <w:pStyle w:val="ListParagraph"/>
        <w:numPr>
          <w:ilvl w:val="0"/>
          <w:numId w:val="2"/>
        </w:numPr>
        <w:spacing w:after="120"/>
      </w:pPr>
      <w:r>
        <w:t xml:space="preserve">The architecture as housing operator and worker employer. The architecture owns or controls the farm rental housing, employs the apprentice as a stage two worker, pays apprenticeship wages, collects rent, handles maintenance, and coordinates the apprenticeship curriculum.</w:t>
      </w:r>
    </w:p>
    <w:p>
      <w:pPr>
        <w:pStyle w:val="ListParagraph"/>
        <w:numPr>
          <w:ilvl w:val="0"/>
          <w:numId w:val="2"/>
        </w:numPr>
        <w:spacing w:after="120"/>
      </w:pPr>
      <w:r>
        <w:t xml:space="preserve">The producer cooperative member family as land host and labor beneficiary. The family hosts the rental housing, receives compensation from the architecture for hosting, has the apprentice available as labor for the farm operation, and directs the apprentice's farm work consistent with the architecture's broader worker progression standards.</w:t>
      </w:r>
    </w:p>
    <w:p>
      <w:pPr>
        <w:pStyle w:val="ListParagraph"/>
        <w:numPr>
          <w:ilvl w:val="0"/>
          <w:numId w:val="2"/>
        </w:numPr>
        <w:spacing w:after="120"/>
      </w:pPr>
      <w:r>
        <w:t xml:space="preserve">The apprentice as worker and tenant. The apprentice has stable housing through the architecture's rental operations, stable employment through the architecture, learning opportunity from the producer cooperative member family, and access to the broader architectural community through the worker progression structure.</w:t>
      </w:r>
    </w:p>
    <w:p>
      <w:pPr>
        <w:spacing w:after="160"/>
      </w:pPr>
      <w:r>
        <w:t xml:space="preserve">Structural protections distinguish this from historical sharecropping exploitation:</w:t>
      </w:r>
    </w:p>
    <w:p>
      <w:pPr>
        <w:pStyle w:val="ListParagraph"/>
        <w:numPr>
          <w:ilvl w:val="0"/>
          <w:numId w:val="2"/>
        </w:numPr>
        <w:spacing w:after="120"/>
      </w:pPr>
      <w:r>
        <w:t xml:space="preserve">Housing relationship and labor relationship operate as separate contracts. Housing termination cannot be used as labor coercion. Labor termination cannot be used as housing termination.</w:t>
      </w:r>
    </w:p>
    <w:p>
      <w:pPr>
        <w:pStyle w:val="ListParagraph"/>
        <w:numPr>
          <w:ilvl w:val="0"/>
          <w:numId w:val="2"/>
        </w:numPr>
        <w:spacing w:after="120"/>
      </w:pPr>
      <w:r>
        <w:t xml:space="preserve">Wages flow through the architecture rather than through the producer cooperative member family. The apprentice is not subject to small employer cash flow problems.</w:t>
      </w:r>
    </w:p>
    <w:p>
      <w:pPr>
        <w:pStyle w:val="ListParagraph"/>
        <w:numPr>
          <w:ilvl w:val="0"/>
          <w:numId w:val="2"/>
        </w:numPr>
        <w:spacing w:after="120"/>
      </w:pPr>
      <w:r>
        <w:t xml:space="preserve">Worker progression structure operates uniformly. Apprentices on producer cooperative member farms operate inside the same structure as other stage two apprentices.</w:t>
      </w:r>
    </w:p>
    <w:p>
      <w:pPr>
        <w:pStyle w:val="ListParagraph"/>
        <w:numPr>
          <w:ilvl w:val="0"/>
          <w:numId w:val="2"/>
        </w:numPr>
        <w:spacing w:after="120"/>
      </w:pPr>
      <w:r>
        <w:t xml:space="preserve">Housing is not contingent on continued placement with the specific producer cooperative member family. The apprentice can transfer to a different placement within the architecture without losing housing.</w:t>
      </w:r>
    </w:p>
    <w:p>
      <w:pPr>
        <w:pStyle w:val="ListParagraph"/>
        <w:numPr>
          <w:ilvl w:val="0"/>
          <w:numId w:val="2"/>
        </w:numPr>
        <w:spacing w:after="120"/>
      </w:pPr>
      <w:r>
        <w:t xml:space="preserve">The apprentice has tenant rights under applicable landlord tenant law and worker rights under applicable employment law.</w:t>
      </w:r>
    </w:p>
    <w:p>
      <w:pPr>
        <w:pStyle w:val="ListParagraph"/>
        <w:numPr>
          <w:ilvl w:val="0"/>
          <w:numId w:val="2"/>
        </w:numPr>
        <w:spacing w:after="120"/>
      </w:pPr>
      <w:r>
        <w:t xml:space="preserve">Producer cooperative member family authority over the apprentice is bounded to legitimate work direction during work hours. The family does not have authority over the apprentice's broader life.</w:t>
      </w:r>
    </w:p>
    <w:p>
      <w:pPr>
        <w:pStyle w:val="ListParagraph"/>
        <w:numPr>
          <w:ilvl w:val="0"/>
          <w:numId w:val="2"/>
        </w:numPr>
        <w:spacing w:after="120"/>
      </w:pPr>
      <w:r>
        <w:t xml:space="preserve">The apprenticeship has educational substance. The architecture's apprenticeship coordinators monitor apprenticeships to ensure genuine learning rather than labor exploitation under apprenticeship label.</w:t>
      </w:r>
    </w:p>
    <w:p>
      <w:pPr>
        <w:pStyle w:val="Heading2"/>
      </w:pPr>
      <w:r>
        <w:t xml:space="preserve">Stage three: Tenant farming with structured ownership progression</w:t>
      </w:r>
    </w:p>
    <w:p>
      <w:pPr>
        <w:spacing w:after="160"/>
      </w:pPr>
      <w:r>
        <w:t xml:space="preserve">After the apprenticeship establishes competence, the worker moves into tenant farming on architecture-held land. The architecture provides the land, the housing, the equipment, the seeds, the inputs, and the infrastructure access. The worker provides the labor and the management of their specific production operation.</w:t>
      </w:r>
    </w:p>
    <w:p>
      <w:pPr>
        <w:spacing w:after="160"/>
      </w:pPr>
      <w:r>
        <w:t xml:space="preserve">The tenant relationship is structured as a hand up rather than the historical exploitative arrangement. Specific elements distinguish this from historical sharecropping:</w:t>
      </w:r>
    </w:p>
    <w:p>
      <w:pPr>
        <w:pStyle w:val="ListParagraph"/>
        <w:numPr>
          <w:ilvl w:val="0"/>
          <w:numId w:val="2"/>
        </w:numPr>
        <w:spacing w:after="120"/>
      </w:pPr>
      <w:r>
        <w:t xml:space="preserve">The crop share arrangement is fair. The architecture's share reflects what the architecture provides (land use, housing, equipment, inputs, infrastructure access, supply chain access, demand guarantee). The architecture's share is meaningfully smaller than historical sharecropping arrangements because the architecture provides meaningfully more and takes meaningfully less.</w:t>
      </w:r>
    </w:p>
    <w:p>
      <w:pPr>
        <w:pStyle w:val="ListParagraph"/>
        <w:numPr>
          <w:ilvl w:val="0"/>
          <w:numId w:val="2"/>
        </w:numPr>
        <w:spacing w:after="120"/>
      </w:pPr>
      <w:r>
        <w:t xml:space="preserve">The tenant has the cooperative's insurance backstop and guaranteed buying program. Risk that destroys most tenant farmers in conventional arrangements is absorbed through the structural mechanisms.</w:t>
      </w:r>
    </w:p>
    <w:p>
      <w:pPr>
        <w:pStyle w:val="ListParagraph"/>
        <w:numPr>
          <w:ilvl w:val="0"/>
          <w:numId w:val="2"/>
        </w:numPr>
        <w:spacing w:after="120"/>
      </w:pPr>
      <w:r>
        <w:t xml:space="preserve">The tenant builds producer cooperative member equity through production. Each year contributes to accumulating equity that builds toward stage four producer cooperative member status.</w:t>
      </w:r>
    </w:p>
    <w:p>
      <w:pPr>
        <w:pStyle w:val="ListParagraph"/>
        <w:numPr>
          <w:ilvl w:val="0"/>
          <w:numId w:val="2"/>
        </w:numPr>
        <w:spacing w:after="120"/>
      </w:pPr>
      <w:r>
        <w:t xml:space="preserve">Housing is part of the structured arrangement. Architecture-owned housing on the land at sustainable rates. The architecture maintains the housing because the architecture owns it. The tenant is not paying rent to a landlord whose interests are opposed to theirs.</w:t>
      </w:r>
    </w:p>
    <w:p>
      <w:pPr>
        <w:pStyle w:val="Heading2"/>
      </w:pPr>
      <w:r>
        <w:t xml:space="preserve">Stage four: Producer cooperative member with operation ownership</w:t>
      </w:r>
    </w:p>
    <w:p>
      <w:pPr>
        <w:spacing w:after="160"/>
      </w:pPr>
      <w:r>
        <w:t xml:space="preserve">After sufficient time and equity accumulation in stage three, the worker becomes a producer cooperative member with ownership of their operation. Land transfers to the worker through the cooperative's structured ownership transition program. The worker owns the operation. The worker remains in covenant relationship with the cooperative through producer cooperative member terms but is no longer a tenant.</w:t>
      </w:r>
    </w:p>
    <w:p>
      <w:pPr>
        <w:spacing w:after="160"/>
      </w:pPr>
      <w:r>
        <w:t xml:space="preserve">Stage four is the maturity stage. The worker has progressed from arriving as someone who wanted to participate to owning their own agricultural operation as a producer cooperative member with established equity in the broader cooperative.</w:t>
      </w:r>
    </w:p>
    <w:p>
      <w:pPr>
        <w:spacing w:after="160"/>
      </w:pPr>
      <w:r>
        <w:t xml:space="preserve">Not every worker reaches stage four. Some workers stay in stage one as kitchen staff or facility operators who do not want to farm. Some workers stay in stage three as tenant farmers indefinitely because tenant arrangements serve them well. Some workers move through all four stages across decades. Each path is legitimate participation.</w:t>
      </w:r>
    </w:p>
    <w:p>
      <w:pPr>
        <w:pStyle w:val="Heading2"/>
      </w:pPr>
      <w:r>
        <w:t xml:space="preserve">Worker progression in non-agricultural verticals</w:t>
      </w:r>
    </w:p>
    <w:p>
      <w:pPr>
        <w:spacing w:after="160"/>
      </w:pPr>
      <w:r>
        <w:t xml:space="preserve">The four-stage structure adapts to non-agricultural verticals. Construction trades workers progress from general labor to apprenticeship in specific trades to journeyman status to potential progression to construction operations leadership. Healthcare professionals enter at various stages depending on their existing credentials. Mining workers (where the architecture grows in that direction) progress through stages adapted to mining operations. Each vertical's specific workforce requirements adapt the worker progression structure to that vertical's actual operational needs.</w:t>
      </w:r>
    </w:p>
    <w:p>
      <w:pPr>
        <w:pStyle w:val="Heading1"/>
        <w:pageBreakBefore/>
      </w:pPr>
      <w:r>
        <w:t xml:space="preserve">Barn Depots</w:t>
      </w:r>
    </w:p>
    <w:p>
      <w:pPr>
        <w:spacing w:after="160"/>
      </w:pPr>
      <w:r>
        <w:t xml:space="preserve">The barn depot is the architecture's complete community infrastructure node. Each barn integrates food, retail, gathering, training, and healthcare functions in a single location. The barn is the practical embodiment of the architecture's commitments at the community level. Members and the broader regional community access the architecture daily through the barn.</w:t>
      </w:r>
    </w:p>
    <w:p>
      <w:pPr>
        <w:spacing w:after="160"/>
      </w:pPr>
      <w:r>
        <w:t xml:space="preserve">The barn structure is a substantial regional institution. The barn becomes the practical embodiment of what the architecture is. Members eat lunch at the barn cafeteria, pick up groceries at the barn retail, attend church meetings in the barn events space, take their kids to the barn dentist, take their cattle to the barn vet, and run into producer cooperative member friends and church mission framework families at the barn. The architecture is community infrastructure that members can see and touch every day.</w:t>
      </w:r>
    </w:p>
    <w:p>
      <w:pPr>
        <w:pStyle w:val="Heading2"/>
      </w:pPr>
      <w:r>
        <w:t xml:space="preserve">Barn functions</w:t>
      </w:r>
    </w:p>
    <w:p>
      <w:pPr>
        <w:spacing w:after="160"/>
      </w:pPr>
      <w:r>
        <w:t xml:space="preserve">Each barn integrates the following functions:</w:t>
      </w:r>
    </w:p>
    <w:p>
      <w:pPr>
        <w:pStyle w:val="Heading3"/>
      </w:pPr>
      <w:r>
        <w:t xml:space="preserve">Cafeteria</w:t>
      </w:r>
    </w:p>
    <w:p>
      <w:pPr>
        <w:spacing w:after="160"/>
      </w:pPr>
      <w:r>
        <w:t xml:space="preserve">Meat-and-three plus deli plus diner format. Target retail price point of approximately $10 with cost stack of $4.50 to $5.50 food, $2.50 to $3.50 labor, $1.00 to $1.50 occupancy, $0.50 to $1.50 margin. Menu emphasizes regional southern food: fried chicken, meatloaf, chicken-fried steak, chicken and dressing, pulled pork, pot roast, salisbury steak, fried catfish on Friday, salmon patties, chicken and dumplings, chicken casserole, brunswick stew. Bases include grits, mashed potatoes, rice, mac and cheese (upcharge). Sides include collards, pinto beans, green beans, butter beans, black-eyed peas, fried okra. Sandwiches include pimento cheese, chicken salad, BLT, grilled cheese. Burger and fries available with upcharge ladder. Soup of the day from byproducts. Cornbread, yeast rolls, biscuits from cooperative-milled flour, lard from cooperative pork.</w:t>
      </w:r>
    </w:p>
    <w:p>
      <w:pPr>
        <w:pStyle w:val="Heading3"/>
      </w:pPr>
      <w:r>
        <w:t xml:space="preserve">Retail floor</w:t>
      </w:r>
    </w:p>
    <w:p>
      <w:pPr>
        <w:spacing w:after="160"/>
      </w:pPr>
      <w:r>
        <w:t xml:space="preserve">Cooperative supply at member pricing. Cooperative produced grains (all-purpose flour, cornmeal and grits, rolled oats, long-grain rice). Protein primals from cooperative production plus Pilgrim's whole chicken from direct relationship. Coffee, spices, honey, salt. Hispanic and Asian supplemental supply through Atlanta wholesale relationships. Seasonal produce from cooperative members and from regional producers.</w:t>
      </w:r>
    </w:p>
    <w:p>
      <w:pPr>
        <w:pStyle w:val="Heading3"/>
      </w:pPr>
      <w:r>
        <w:t xml:space="preserve">Wholesale pickup</w:t>
      </w:r>
    </w:p>
    <w:p>
      <w:pPr>
        <w:spacing w:after="160"/>
      </w:pPr>
      <w:r>
        <w:t xml:space="preserve">Coordination point for supper clubs, religious organization food programs, and member household bulk purchases. The wholesale function operates at scales that supplement the cafeteria and retail functions while providing efficient distribution to organized buyers.</w:t>
      </w:r>
    </w:p>
    <w:p>
      <w:pPr>
        <w:pStyle w:val="Heading3"/>
      </w:pPr>
      <w:r>
        <w:t xml:space="preserve">Events space</w:t>
      </w:r>
    </w:p>
    <w:p>
      <w:pPr>
        <w:spacing w:after="160"/>
      </w:pPr>
      <w:r>
        <w:t xml:space="preserve">Community gathering space functioning as fellowship hall, meeting space, training space, and community center. Available to participating churches for community functions. Available for cooperative member meetings. Available for CTAE pipeline programs and apprenticeship system training. Available for community events that strengthen the regional fabric.</w:t>
      </w:r>
    </w:p>
    <w:p>
      <w:pPr>
        <w:pStyle w:val="Heading3"/>
      </w:pPr>
      <w:r>
        <w:t xml:space="preserve">Beverage program</w:t>
      </w:r>
    </w:p>
    <w:p>
      <w:pPr>
        <w:spacing w:after="160"/>
      </w:pPr>
      <w:r>
        <w:t xml:space="preserve">Four bottled lines with cans as primary packaging. No outside sodas. (1) Cooperative soda including cola, root beer, ginger ale, lemon-lime, cream, orange, cherry, grape, and seasonal variants. (2) Beer including 3 to 5 core styles plus seasonal at brewery production scale of approximately 1,500 barrels per year. (3) Milk through regional dairy partnership. (4) Apple juice through regional orchards. Plus draft program: sweet tea, unsweetened tea, lemonade, coffee, water. CO2 from Phase 2 brewery fermentation capture. Closed loop: brewery spent grain to producer member animal feed, apple pomace to animal feed.</w:t>
      </w:r>
    </w:p>
    <w:p>
      <w:pPr>
        <w:pStyle w:val="Heading3"/>
      </w:pPr>
      <w:r>
        <w:t xml:space="preserve">Healthcare infrastructure</w:t>
      </w:r>
    </w:p>
    <w:p>
      <w:pPr>
        <w:spacing w:after="160"/>
      </w:pPr>
      <w:r>
        <w:t xml:space="preserve">Each barn has a doctor, a dentist, and a vet. The integrated healthcare infrastructure restores rural healthcare access that has collapsed across most of the regional service area. Healthcare professionals live in architecture-provided housing in the community. They serve cooperative members and their families through the cooperative benefits package. They serve the broader community through appropriate fee structures.</w:t>
      </w:r>
    </w:p>
    <w:p>
      <w:pPr>
        <w:spacing w:after="160"/>
      </w:pPr>
      <w:r>
        <w:t xml:space="preserve">The doctor at the barn:</w:t>
      </w:r>
    </w:p>
    <w:p>
      <w:pPr>
        <w:pStyle w:val="ListParagraph"/>
        <w:numPr>
          <w:ilvl w:val="0"/>
          <w:numId w:val="2"/>
        </w:numPr>
        <w:spacing w:after="120"/>
      </w:pPr>
      <w:r>
        <w:t xml:space="preserve">Primary care for cooperative members and their families. Routine checkups, preventive care, chronic condition management, acute illness treatment, basic injury treatment.</w:t>
      </w:r>
    </w:p>
    <w:p>
      <w:pPr>
        <w:pStyle w:val="ListParagraph"/>
        <w:numPr>
          <w:ilvl w:val="0"/>
          <w:numId w:val="2"/>
        </w:numPr>
        <w:spacing w:after="120"/>
      </w:pPr>
      <w:r>
        <w:t xml:space="preserve">Occupational medicine for the agricultural workforce. Farming injuries, equipment accidents, heat exhaustion, repetitive stress conditions, agricultural occupational health.</w:t>
      </w:r>
    </w:p>
    <w:p>
      <w:pPr>
        <w:pStyle w:val="ListParagraph"/>
        <w:numPr>
          <w:ilvl w:val="0"/>
          <w:numId w:val="2"/>
        </w:numPr>
        <w:spacing w:after="120"/>
      </w:pPr>
      <w:r>
        <w:t xml:space="preserve">Pediatric care for cooperative member families.</w:t>
      </w:r>
    </w:p>
    <w:p>
      <w:pPr>
        <w:pStyle w:val="ListParagraph"/>
        <w:numPr>
          <w:ilvl w:val="0"/>
          <w:numId w:val="2"/>
        </w:numPr>
        <w:spacing w:after="120"/>
      </w:pPr>
      <w:r>
        <w:t xml:space="preserve">Women's health and prenatal care including basic gynecological care with referral to regional partners for childbirth or complex cases.</w:t>
      </w:r>
    </w:p>
    <w:p>
      <w:pPr>
        <w:pStyle w:val="ListParagraph"/>
        <w:numPr>
          <w:ilvl w:val="0"/>
          <w:numId w:val="2"/>
        </w:numPr>
        <w:spacing w:after="120"/>
      </w:pPr>
      <w:r>
        <w:t xml:space="preserve">Mental health screening and treatment with referral to specialists when needed. Rural mental health crisis is severe and underrecognized. Farmer suicide rates are significantly higher than the general population. The doctor knows the community well enough to recognize patterns that outside providers would miss.</w:t>
      </w:r>
    </w:p>
    <w:p>
      <w:pPr>
        <w:pStyle w:val="ListParagraph"/>
        <w:numPr>
          <w:ilvl w:val="0"/>
          <w:numId w:val="2"/>
        </w:numPr>
        <w:spacing w:after="120"/>
      </w:pPr>
      <w:r>
        <w:t xml:space="preserve">Specialist referral coordination through cooperative relationships with regional hospitals and specialty practices.</w:t>
      </w:r>
    </w:p>
    <w:p>
      <w:pPr>
        <w:spacing w:after="160"/>
      </w:pPr>
      <w:r>
        <w:t xml:space="preserve">The dentist at the barn:</w:t>
      </w:r>
    </w:p>
    <w:p>
      <w:pPr>
        <w:pStyle w:val="ListParagraph"/>
        <w:numPr>
          <w:ilvl w:val="0"/>
          <w:numId w:val="2"/>
        </w:numPr>
        <w:spacing w:after="120"/>
      </w:pPr>
      <w:r>
        <w:t xml:space="preserve">Routine dental care including cleanings, examinations, x-rays, preventive treatment.</w:t>
      </w:r>
    </w:p>
    <w:p>
      <w:pPr>
        <w:pStyle w:val="ListParagraph"/>
        <w:numPr>
          <w:ilvl w:val="0"/>
          <w:numId w:val="2"/>
        </w:numPr>
        <w:spacing w:after="120"/>
      </w:pPr>
      <w:r>
        <w:t xml:space="preserve">Restorative dental care including fillings, crowns, bridges, root canals, extractions, dentures.</w:t>
      </w:r>
    </w:p>
    <w:p>
      <w:pPr>
        <w:pStyle w:val="ListParagraph"/>
        <w:numPr>
          <w:ilvl w:val="0"/>
          <w:numId w:val="2"/>
        </w:numPr>
        <w:spacing w:after="120"/>
      </w:pPr>
      <w:r>
        <w:t xml:space="preserve">Pediatric dental care including sealants, fluoride treatment, orthodontic referral.</w:t>
      </w:r>
    </w:p>
    <w:p>
      <w:pPr>
        <w:pStyle w:val="ListParagraph"/>
        <w:numPr>
          <w:ilvl w:val="0"/>
          <w:numId w:val="2"/>
        </w:numPr>
        <w:spacing w:after="120"/>
      </w:pPr>
      <w:r>
        <w:t xml:space="preserve">Emergency dental care including dental abscesses, broken teeth, traumatic dental injury.</w:t>
      </w:r>
    </w:p>
    <w:p>
      <w:pPr>
        <w:pStyle w:val="ListParagraph"/>
        <w:numPr>
          <w:ilvl w:val="0"/>
          <w:numId w:val="2"/>
        </w:numPr>
        <w:spacing w:after="120"/>
      </w:pPr>
      <w:r>
        <w:t xml:space="preserve">Coordination with the doctor on patients whose dental status affects medical status (cardiovascular patients, diabetic patients, immunocompromised patients) and whose medical status affects dental treatment.</w:t>
      </w:r>
    </w:p>
    <w:p>
      <w:pPr>
        <w:pStyle w:val="ListParagraph"/>
        <w:numPr>
          <w:ilvl w:val="0"/>
          <w:numId w:val="2"/>
        </w:numPr>
        <w:spacing w:after="120"/>
      </w:pPr>
      <w:r>
        <w:t xml:space="preserve">Specialty referral for oral surgery, endodontic specialists, periodontal specialists, or orthodontic care.</w:t>
      </w:r>
    </w:p>
    <w:p>
      <w:pPr>
        <w:spacing w:after="160"/>
      </w:pPr>
      <w:r>
        <w:t xml:space="preserve">The vet at the barn:</w:t>
      </w:r>
    </w:p>
    <w:p>
      <w:pPr>
        <w:pStyle w:val="ListParagraph"/>
        <w:numPr>
          <w:ilvl w:val="0"/>
          <w:numId w:val="2"/>
        </w:numPr>
        <w:spacing w:after="120"/>
      </w:pPr>
      <w:r>
        <w:t xml:space="preserve">Large animal care for cooperative livestock operations. Cattle, hogs, goats, sheep, horses. Routine herd health management, reproductive services, illness treatment, surgical procedures, vaccination programs, parasite management.</w:t>
      </w:r>
    </w:p>
    <w:p>
      <w:pPr>
        <w:pStyle w:val="ListParagraph"/>
        <w:numPr>
          <w:ilvl w:val="0"/>
          <w:numId w:val="2"/>
        </w:numPr>
        <w:spacing w:after="120"/>
      </w:pPr>
      <w:r>
        <w:t xml:space="preserve">Small animal care for cooperative member families. Dogs, cats, and other pets that families keep.</w:t>
      </w:r>
    </w:p>
    <w:p>
      <w:pPr>
        <w:pStyle w:val="ListParagraph"/>
        <w:numPr>
          <w:ilvl w:val="0"/>
          <w:numId w:val="2"/>
        </w:numPr>
        <w:spacing w:after="120"/>
      </w:pPr>
      <w:r>
        <w:t xml:space="preserve">Avian and poultry care for layer flocks at producer cooperative member operations, broiler operations under contract structure, backyard poultry, and small flock operations.</w:t>
      </w:r>
    </w:p>
    <w:p>
      <w:pPr>
        <w:pStyle w:val="ListParagraph"/>
        <w:numPr>
          <w:ilvl w:val="0"/>
          <w:numId w:val="2"/>
        </w:numPr>
        <w:spacing w:after="120"/>
      </w:pPr>
      <w:r>
        <w:t xml:space="preserve">Veterinary diagnostics on site for faster diagnosis and treatment than sending samples to distant laboratories.</w:t>
      </w:r>
    </w:p>
    <w:p>
      <w:pPr>
        <w:pStyle w:val="ListParagraph"/>
        <w:numPr>
          <w:ilvl w:val="0"/>
          <w:numId w:val="2"/>
        </w:numPr>
        <w:spacing w:after="120"/>
      </w:pPr>
      <w:r>
        <w:t xml:space="preserve">Reproductive services including pregnancy detection, artificial insemination, embryo transfer where warranted, breeding soundness examinations, reproductive disease management.</w:t>
      </w:r>
    </w:p>
    <w:p>
      <w:pPr>
        <w:pStyle w:val="ListParagraph"/>
        <w:numPr>
          <w:ilvl w:val="0"/>
          <w:numId w:val="2"/>
        </w:numPr>
        <w:spacing w:after="120"/>
      </w:pPr>
      <w:r>
        <w:t xml:space="preserve">Coordination with cooperative production planning. The vet works with producer cooperative members to plan herd health management around cooperative production schedules.</w:t>
      </w:r>
    </w:p>
    <w:p>
      <w:pPr>
        <w:pStyle w:val="ListParagraph"/>
        <w:numPr>
          <w:ilvl w:val="0"/>
          <w:numId w:val="2"/>
        </w:numPr>
        <w:spacing w:after="120"/>
      </w:pPr>
      <w:r>
        <w:t xml:space="preserve">Coordination with the cooperative processing facility on health certifications, inspection support, humane handling, and animal welfare standards.</w:t>
      </w:r>
    </w:p>
    <w:p>
      <w:pPr>
        <w:pStyle w:val="ListParagraph"/>
        <w:numPr>
          <w:ilvl w:val="0"/>
          <w:numId w:val="2"/>
        </w:numPr>
        <w:spacing w:after="120"/>
      </w:pPr>
      <w:r>
        <w:t xml:space="preserve">Wildlife and emerging disease surveillance for biosecurity protection.</w:t>
      </w:r>
    </w:p>
    <w:p>
      <w:pPr>
        <w:pStyle w:val="Heading2"/>
      </w:pPr>
      <w:r>
        <w:t xml:space="preserve">Capital and operational scale</w:t>
      </w:r>
    </w:p>
    <w:p>
      <w:pPr>
        <w:spacing w:after="160"/>
      </w:pPr>
      <w:r>
        <w:t xml:space="preserve">Each barn requires capital deployment for the integrated functions. Construction at the architecture's specifications (poured concrete shells, stone veneer, slate roofs, copper rain handling and plumbing) including cafeteria operations, retail floor, wholesale pickup, events space, healthcare clinical space, and supporting infrastructure. Tom's integrated build partnership reduces the construction cost stack but absolute cost remains substantial.</w:t>
      </w:r>
    </w:p>
    <w:p>
      <w:pPr>
        <w:spacing w:after="160"/>
      </w:pPr>
      <w:r>
        <w:t xml:space="preserve">Equipment costs include kitchen equipment for cafeteria operations, retail equipment for the retail floor, healthcare equipment for the doctor, dentist, and vet operations. Healthcare equipment per barn is approximately $700,000 to $1.5 million for the integrated medical, dental, and veterinary capability.</w:t>
      </w:r>
    </w:p>
    <w:p>
      <w:pPr>
        <w:spacing w:after="160"/>
      </w:pPr>
      <w:r>
        <w:t xml:space="preserve">Operating costs include staffing for the integrated functions. Cafeteria staff. Retail staff. Healthcare professional compensation through the benefits structure. Support staff including nurse practitioners, dental hygienists, vet technicians, medical assistants, and administrative support. Total healthcare staffing cost per barn is approximately $800,000 to $1.2 million annually.</w:t>
      </w:r>
    </w:p>
    <w:p>
      <w:pPr>
        <w:spacing w:after="160"/>
      </w:pPr>
      <w:r>
        <w:t xml:space="preserve">Across 5 barns at Phase 1 deployment, healthcare infrastructure capital is approximately $5 million to $10 million in incremental construction and equipment, with annual operating cost of $4 million to $6 million. Across 25 barns at full regional deployment, capital is approximately $25 million to $50 million with annual operating cost of $20 million to $30 million.</w:t>
      </w:r>
    </w:p>
    <w:p>
      <w:pPr>
        <w:pStyle w:val="Heading1"/>
        <w:pageBreakBefore/>
      </w:pPr>
      <w:r>
        <w:t xml:space="preserve">Construction and Material Verticals</w:t>
      </w:r>
    </w:p>
    <w:p>
      <w:pPr>
        <w:spacing w:after="160"/>
      </w:pPr>
      <w:r>
        <w:t xml:space="preserve">The architecture controls four material verticals through the integrated build partnership and through related operations. Timber, stone, concrete, and copper. The four verticals together produce the structural foundation for generational construction at cost basis dramatically below commercial supplier pricing.</w:t>
      </w:r>
    </w:p>
    <w:p>
      <w:pPr>
        <w:spacing w:after="160"/>
      </w:pPr>
      <w:r>
        <w:t xml:space="preserve">The architecture is not a buyer of construction materials at market prices. The architecture is the producer of the materials at cost basis through the verticals. This is structurally significant. The construction cost stack drops dramatically. Supply security is structural. Quality control is direct. Regional integration is deep.</w:t>
      </w:r>
    </w:p>
    <w:p>
      <w:pPr>
        <w:spacing w:after="160"/>
      </w:pPr>
      <w:r>
        <w:t xml:space="preserve">The architecture's construction operation is not just a construction company. The architecture's construction operation is a vertically integrated industrial operation that produces materials, fabricates components, and assembles buildings as a single coordinated enterprise. This is structurally similar to how 19th century industrial firms operated when they produced their own materials, fabricated their own components, and built their own facilities.</w:t>
      </w:r>
    </w:p>
    <w:p>
      <w:pPr>
        <w:pStyle w:val="Heading2"/>
      </w:pPr>
      <w:r>
        <w:t xml:space="preserve">Construction philosophy</w:t>
      </w:r>
    </w:p>
    <w:p>
      <w:pPr>
        <w:spacing w:after="160"/>
      </w:pPr>
      <w:r>
        <w:t xml:space="preserve">The architecture builds to last generationally rather than to current building code minimums. The construction philosophy targets 300 to 500 year service life for structural shells with periodic renewal of secondary systems on appropriate cycles. The construction integrates passive solar design, geothermal heat exchange, and traditional building methods drawn from Plain community building practice.</w:t>
      </w:r>
    </w:p>
    <w:p>
      <w:pPr>
        <w:spacing w:after="160"/>
      </w:pPr>
      <w:r>
        <w:t xml:space="preserve">Specific construction specifications:</w:t>
      </w:r>
    </w:p>
    <w:p>
      <w:pPr>
        <w:pStyle w:val="ListParagraph"/>
        <w:numPr>
          <w:ilvl w:val="0"/>
          <w:numId w:val="2"/>
        </w:numPr>
        <w:spacing w:after="120"/>
      </w:pPr>
      <w:r>
        <w:t xml:space="preserve">Poured concrete for everything structural. Walls, foundations, floors, roof decks. The structural system is monolithic. The walls and floors and roof integrate into a single structural unit. The structure does not burn, rot, support insect infestation, flex, or settle once cured. Service life of 300 to 500 years when properly mixed and properly placed.</w:t>
      </w:r>
    </w:p>
    <w:p>
      <w:pPr>
        <w:pStyle w:val="ListParagraph"/>
        <w:numPr>
          <w:ilvl w:val="0"/>
          <w:numId w:val="2"/>
        </w:numPr>
        <w:spacing w:after="120"/>
      </w:pPr>
      <w:r>
        <w:t xml:space="preserve">Stone veneer for exterior cladding. Sandstone and limestone from regional deposits. Properly installed stone veneer requires minimal maintenance across centuries. The stone does not paint, peel, rot, or require periodic refinishing. Mortar joints may require pointing across long timeframes (typically every 50 to 100 years) but the stone itself ages without maintenance. Architectural character that conventional residential cladding cannot match.</w:t>
      </w:r>
    </w:p>
    <w:p>
      <w:pPr>
        <w:pStyle w:val="ListParagraph"/>
        <w:numPr>
          <w:ilvl w:val="0"/>
          <w:numId w:val="2"/>
        </w:numPr>
        <w:spacing w:after="120"/>
      </w:pPr>
      <w:r>
        <w:t xml:space="preserve">Slate roofs over concrete roof decks. Service life of 100 to 200 years with minimal maintenance. Across the structural service life, slate roofing requires replacement once or twice while asphalt shingles would require 10 to 20 replacements. Total roofing cost across the service life is dramatically lower than conventional roofing.</w:t>
      </w:r>
    </w:p>
    <w:p>
      <w:pPr>
        <w:pStyle w:val="ListParagraph"/>
        <w:numPr>
          <w:ilvl w:val="0"/>
          <w:numId w:val="2"/>
        </w:numPr>
        <w:spacing w:after="120"/>
      </w:pPr>
      <w:r>
        <w:t xml:space="preserve">Copper for rain handling. Gutters, downspouts, flashing. Service life of 80 to 150 years with minimal maintenance. Copper develops protective patina across decades. Material is recyclable at end of service life with substantial residual value.</w:t>
      </w:r>
    </w:p>
    <w:p>
      <w:pPr>
        <w:pStyle w:val="ListParagraph"/>
        <w:numPr>
          <w:ilvl w:val="0"/>
          <w:numId w:val="2"/>
        </w:numPr>
        <w:spacing w:after="120"/>
      </w:pPr>
      <w:r>
        <w:t xml:space="preserve">Copper for plumbing supply lines throughout the house. Service life of 60 to 100 plus years in properly installed systems. Longer service life than alternative plumbing materials. Better water quality than systems with plastic plumbing components.</w:t>
      </w:r>
    </w:p>
    <w:p>
      <w:pPr>
        <w:pStyle w:val="ListParagraph"/>
        <w:numPr>
          <w:ilvl w:val="0"/>
          <w:numId w:val="2"/>
        </w:numPr>
        <w:spacing w:after="120"/>
      </w:pPr>
      <w:r>
        <w:t xml:space="preserve">Passive solar design integrating building orientation, window placement, thermal mass, and architectural design. Houses oriented east-west with the long axis on the south side. Large south-facing windows with appropriate overhangs. Thermal mass that absorbs solar heat during the day and releases it slowly through the evening. Reduces winter heating energy demand by 40 to 70 percent compared to conventional construction.</w:t>
      </w:r>
    </w:p>
    <w:p>
      <w:pPr>
        <w:pStyle w:val="ListParagraph"/>
        <w:numPr>
          <w:ilvl w:val="0"/>
          <w:numId w:val="2"/>
        </w:numPr>
        <w:spacing w:after="120"/>
      </w:pPr>
      <w:r>
        <w:t xml:space="preserve">Geothermal heat exchange using stable ground temperature for heating and cooling. Heat pumps move heat from the ground to the house in winter and from the house to the ground in summer. Reduces heating and cooling energy demand by 50 to 70 percent. Combined with passive solar, total heating and cooling energy demand drops 75 to 90 percent compared to conventional construction.</w:t>
      </w:r>
    </w:p>
    <w:p>
      <w:pPr>
        <w:pStyle w:val="ListParagraph"/>
        <w:numPr>
          <w:ilvl w:val="0"/>
          <w:numId w:val="2"/>
        </w:numPr>
        <w:spacing w:after="120"/>
      </w:pPr>
      <w:r>
        <w:t xml:space="preserve">Amish building methods drawn from Plain community building practice. Timber frame construction with mortise and tenon joinery for primary structural elements where appropriate. Hand-selected and properly cured lumber. Masonry foundations built to last. Hand-crafted interior details. Integration through hiring Plain community builders as contractors or consultants on specific projects, training architecture construction crews in traditional methods through apprenticeship, and using Plain community pattern books as references.</w:t>
      </w:r>
    </w:p>
    <w:p>
      <w:pPr>
        <w:pStyle w:val="Heading2"/>
      </w:pPr>
      <w:r>
        <w:t xml:space="preserve">Timber vertical</w:t>
      </w:r>
    </w:p>
    <w:p>
      <w:pPr>
        <w:spacing w:after="160"/>
      </w:pPr>
      <w:r>
        <w:t xml:space="preserve">The architecture controls timber through forestry operations on architecture-held land, sawmill operations, and drying and finishing operations. Forestry operations on architecture-held land produce timber on sustainable rotation cycles. Hardwoods (oak, walnut, cherry, maple) for trim, cabinetry, and high-quality applications. Softwoods (pine) for framing and structural applications.</w:t>
      </w:r>
    </w:p>
    <w:p>
      <w:pPr>
        <w:spacing w:after="160"/>
      </w:pPr>
      <w:r>
        <w:t xml:space="preserve">Sawmill operations process timber from architecture forestry operations and from regional timber suppliers into dimensional lumber, timbers, boards, and the specific cuts construction requires. Drying operations bring lumber to appropriate moisture content. Finishing operations produce specialized products for specific construction applications.</w:t>
      </w:r>
    </w:p>
    <w:p>
      <w:pPr>
        <w:spacing w:after="160"/>
      </w:pPr>
      <w:r>
        <w:t xml:space="preserve">The vertical operates at scale that exceeds the architecture's own construction needs. Excess capacity becomes commercial output sold to regional construction firms at fair market prices. Commercial sales generate revenue supporting the verticals' operations. The architecture's construction receives materials at cost basis while the verticals operate as profitable commercial enterprises through broader regional sales.</w:t>
      </w:r>
    </w:p>
    <w:p>
      <w:pPr>
        <w:spacing w:after="160"/>
      </w:pPr>
      <w:r>
        <w:t xml:space="preserve">Capital deployment for the timber vertical is approximately $20 million to $50 million for land, mill equipment, drying operations, and operating capital.</w:t>
      </w:r>
    </w:p>
    <w:p>
      <w:pPr>
        <w:pStyle w:val="Heading2"/>
      </w:pPr>
      <w:r>
        <w:t xml:space="preserve">Stone vertical</w:t>
      </w:r>
    </w:p>
    <w:p>
      <w:pPr>
        <w:spacing w:after="160"/>
      </w:pPr>
      <w:r>
        <w:t xml:space="preserve">The architecture controls stone through the integrated build partnership's existing aggregate operation on Sand Mountain (sandstone and limestone) and through stone fabrication and stone yard operations that the architecture extends. The Sand Mountain quarry produces aggregate that serves construction across the regional service area.</w:t>
      </w:r>
    </w:p>
    <w:p>
      <w:pPr>
        <w:spacing w:after="160"/>
      </w:pPr>
      <w:r>
        <w:t xml:space="preserve">Stone fabrication operations cut, shape, and finish stone for architectural applications. Veneer panels for exterior cladding. Dimension stone for trim and detail. Hearthstones, sills, and architectural stone elements. The fabrication captures value chain margin from rough quarried stone to finished architectural stone.</w:t>
      </w:r>
    </w:p>
    <w:p>
      <w:pPr>
        <w:spacing w:after="160"/>
      </w:pPr>
      <w:r>
        <w:t xml:space="preserve">The architecture's construction uses regional sandstone and limestone in stone veneer applications. The houses look like they belong on the land they sit on because they are built from the land they sit on.</w:t>
      </w:r>
    </w:p>
    <w:p>
      <w:pPr>
        <w:spacing w:after="160"/>
      </w:pPr>
      <w:r>
        <w:t xml:space="preserve">Capital deployment for stone fabrication and stone yard operations is approximately $5 million to $15 million in addition to the existing aggregate operation.</w:t>
      </w:r>
    </w:p>
    <w:p>
      <w:pPr>
        <w:pStyle w:val="Heading3"/>
      </w:pPr>
      <w:r>
        <w:t xml:space="preserve">Future marble vertical expansion</w:t>
      </w:r>
    </w:p>
    <w:p>
      <w:pPr>
        <w:spacing w:after="160"/>
      </w:pPr>
      <w:r>
        <w:t xml:space="preserve">Pickens County, Georgia contains a marble vein 5 to 7 miles long, half a mile wide, and up to 2,000 feet deep. The vein is one of the largest marble deposits in the eastern United States. Pickens County marble built the Lincoln Memorial, the U.S. Capitol, and more than 60 percent of the monuments in Washington, D.C.</w:t>
      </w:r>
    </w:p>
    <w:p>
      <w:pPr>
        <w:spacing w:after="160"/>
      </w:pPr>
      <w:r>
        <w:t xml:space="preserve">As the architecture grows in that direction, the marble vertical extends the architecture's stone capability into architectural and dimension stone applications. Acquisition would happen through specific arrangements with existing rights holders (Polycor's dimension stone operation, Imerys's industrial minerals operation, the Tate family estate retained interests) or through new operations on architecture-acquired land within the vein.</w:t>
      </w:r>
    </w:p>
    <w:p>
      <w:pPr>
        <w:spacing w:after="160"/>
      </w:pPr>
      <w:r>
        <w:t xml:space="preserve">Capital deployment for a meaningful marble mining acquisition is approximately $80 million to $300 million depending on acquisition path and scope. The acquisition is Phase 2 or later, after the four county foundation is substantially established.</w:t>
      </w:r>
    </w:p>
    <w:p>
      <w:pPr>
        <w:pStyle w:val="Heading2"/>
      </w:pPr>
      <w:r>
        <w:t xml:space="preserve">Concrete vertical</w:t>
      </w:r>
    </w:p>
    <w:p>
      <w:pPr>
        <w:spacing w:after="160"/>
      </w:pPr>
      <w:r>
        <w:t xml:space="preserve">The architecture controls concrete through concrete batch plant operations sourcing aggregate from Tom's quarry at cost basis. The cement is purchased from regional suppliers at commercial pricing because cement plants require capital investment in the hundreds of millions and operate at scales exceeding the architecture's needs.</w:t>
      </w:r>
    </w:p>
    <w:p>
      <w:pPr>
        <w:spacing w:after="160"/>
      </w:pPr>
      <w:r>
        <w:t xml:space="preserve">Concrete batch plants combine cement, aggregate, water, and admixtures in specific proportions for specific applications. Operating batch plants internally captures value chain margin from raw materials to delivered concrete. Multiple batch plants distributed across the regional service area minimize delivery distances.</w:t>
      </w:r>
    </w:p>
    <w:p>
      <w:pPr>
        <w:spacing w:after="160"/>
      </w:pPr>
      <w:r>
        <w:t xml:space="preserve">Concrete delivery operations through transit mixer fleet support construction sites across the service area. Operating delivery internally captures the logistics cost rather than paying commercial concrete delivery rates.</w:t>
      </w:r>
    </w:p>
    <w:p>
      <w:pPr>
        <w:spacing w:after="160"/>
      </w:pPr>
      <w:r>
        <w:t xml:space="preserve">Capital deployment for the concrete vertical is approximately $20 million to $50 million for batch plants and delivery fleet.</w:t>
      </w:r>
    </w:p>
    <w:p>
      <w:pPr>
        <w:pStyle w:val="Heading2"/>
      </w:pPr>
      <w:r>
        <w:t xml:space="preserve">Copper vertical</w:t>
      </w:r>
    </w:p>
    <w:p>
      <w:pPr>
        <w:spacing w:after="160"/>
      </w:pPr>
      <w:r>
        <w:t xml:space="preserve">The architecture controls copper through regional supply relationships, copper fabrication operations, and copper recycling. Tennessee has copper mining heritage through the Ducktown copper mining district in southeast Tennessee. Regional copper sources support the architecture's supply at cost basis advantages.</w:t>
      </w:r>
    </w:p>
    <w:p>
      <w:pPr>
        <w:spacing w:after="160"/>
      </w:pPr>
      <w:r>
        <w:t xml:space="preserve">Copper fabrication operations produce sheet copper for roofing flashing and gutter systems, pipe and tubing for plumbing supply lines, and architectural copper elements for ornamental applications. Copper recycling operations recover copper from buildings being renovated, from infrastructure being upgraded, and from regional sources. Recycled copper supplies meaningful portions of the construction program at reduced cost compared to virgin copper.</w:t>
      </w:r>
    </w:p>
    <w:p>
      <w:pPr>
        <w:spacing w:after="160"/>
      </w:pPr>
      <w:r>
        <w:t xml:space="preserve">Capital deployment for the copper vertical is approximately $5 million to $15 million for fabrication and recycling operations.</w:t>
      </w:r>
    </w:p>
    <w:p>
      <w:pPr>
        <w:pStyle w:val="Heading1"/>
        <w:pageBreakBefore/>
      </w:pPr>
      <w:r>
        <w:t xml:space="preserve">Housing Infrastructure</w:t>
      </w:r>
    </w:p>
    <w:p>
      <w:pPr>
        <w:spacing w:after="160"/>
      </w:pPr>
      <w:r>
        <w:t xml:space="preserve">The architecture builds and holds housing as core infrastructure rather than as ancillary support function. Housing is the practical mechanism that captures workforce, anchors community, and demonstrates the architecture's commitments to participants. The architecture owns housing across multiple categories serving different functions in the broader operation.</w:t>
      </w:r>
    </w:p>
    <w:p>
      <w:pPr>
        <w:pStyle w:val="Heading2"/>
      </w:pPr>
      <w:r>
        <w:t xml:space="preserve">Categories of architecture housing</w:t>
      </w:r>
    </w:p>
    <w:p>
      <w:pPr>
        <w:pStyle w:val="ListParagraph"/>
        <w:numPr>
          <w:ilvl w:val="0"/>
          <w:numId w:val="2"/>
        </w:numPr>
        <w:spacing w:after="120"/>
      </w:pPr>
      <w:r>
        <w:t xml:space="preserve">Worker housing near operational facilities. Apartments, dormitories, small houses near the milling and distribution hub, the processing facility, the preservation cluster, the rolling stock fleet operations, and the barn depots. Workers in stage one live close to where they work without long commutes.</w:t>
      </w:r>
    </w:p>
    <w:p>
      <w:pPr>
        <w:pStyle w:val="ListParagraph"/>
        <w:numPr>
          <w:ilvl w:val="0"/>
          <w:numId w:val="2"/>
        </w:numPr>
        <w:spacing w:after="120"/>
      </w:pPr>
      <w:r>
        <w:t xml:space="preserve">Tenant farmer housing on production land. Houses on architecture-held farmland where workers in stage three live with their families. Sized for families. Includes outbuildings and infrastructure that the agricultural operation requires.</w:t>
      </w:r>
    </w:p>
    <w:p>
      <w:pPr>
        <w:pStyle w:val="ListParagraph"/>
        <w:numPr>
          <w:ilvl w:val="0"/>
          <w:numId w:val="2"/>
        </w:numPr>
        <w:spacing w:after="120"/>
      </w:pPr>
      <w:r>
        <w:t xml:space="preserve">Producer cooperative member housing. Members may transition from architecture-owned housing to housing they own through the structured ownership progression, or members may continue in architecture-associated housing depending on their preferences and operational needs.</w:t>
      </w:r>
    </w:p>
    <w:p>
      <w:pPr>
        <w:pStyle w:val="ListParagraph"/>
        <w:numPr>
          <w:ilvl w:val="0"/>
          <w:numId w:val="2"/>
        </w:numPr>
        <w:spacing w:after="120"/>
      </w:pPr>
      <w:r>
        <w:t xml:space="preserve">Professional recruitment housing. Houses for doctors, dentists, vets, agronomists, food safety specialists, and other professionals the architecture recruits. The professional recruitment package includes a house plus appropriate office space integrated with the relevant facility. The offer is structurally superior to anything urban or metropolitan competitors can match because the architecture provides complete life infrastructure rather than just employment.</w:t>
      </w:r>
    </w:p>
    <w:p>
      <w:pPr>
        <w:pStyle w:val="ListParagraph"/>
        <w:numPr>
          <w:ilvl w:val="0"/>
          <w:numId w:val="2"/>
        </w:numPr>
        <w:spacing w:after="120"/>
      </w:pPr>
      <w:r>
        <w:t xml:space="preserve">Community housing in towns where the architecture operates. Houses, apartments, and other residential properties that support the broader architecture-associated community. Workers in administrative and professional roles. Retired members. Family members of workers and producer cooperative members.</w:t>
      </w:r>
    </w:p>
    <w:p>
      <w:pPr>
        <w:pStyle w:val="ListParagraph"/>
        <w:numPr>
          <w:ilvl w:val="0"/>
          <w:numId w:val="2"/>
        </w:numPr>
        <w:spacing w:after="120"/>
      </w:pPr>
      <w:r>
        <w:t xml:space="preserve">Multi-generational family housing. Housing structures that support extended family arrangements. Grandparents, parents, and children in coordinated housing that supports family formation and intergenerational knowledge transfer.</w:t>
      </w:r>
    </w:p>
    <w:p>
      <w:pPr>
        <w:pStyle w:val="ListParagraph"/>
        <w:numPr>
          <w:ilvl w:val="0"/>
          <w:numId w:val="2"/>
        </w:numPr>
        <w:spacing w:after="120"/>
      </w:pPr>
      <w:r>
        <w:t xml:space="preserve">Apprentice housing on producer cooperative member farms. Rental housing operated by the architecture as part of the farm apprenticeship pathway in stage two of the worker progression structure.</w:t>
      </w:r>
    </w:p>
    <w:p>
      <w:pPr>
        <w:pStyle w:val="Heading2"/>
      </w:pPr>
      <w:r>
        <w:t xml:space="preserve">Construction philosophy applied to housing</w:t>
      </w:r>
    </w:p>
    <w:p>
      <w:pPr>
        <w:spacing w:after="160"/>
      </w:pPr>
      <w:r>
        <w:t xml:space="preserve">All architecture housing is built to the construction philosophy specifications. Poured concrete shells. Stone veneer cladding. Slate roofs. Copper rain handling and plumbing. Passive solar orientation. Geothermal heating and cooling. Generational construction targeting 300 to 500 year structural service life.</w:t>
      </w:r>
    </w:p>
    <w:p>
      <w:pPr>
        <w:spacing w:after="160"/>
      </w:pPr>
      <w:r>
        <w:t xml:space="preserve">Capital cost per house at 1,800 to 2,400 square feet through Tom's integrated build partnership at the architecture's specifications is approximately $500,000 to $800,000. The capital is meaningful but the service life is 5x to 10x conventional construction. Maintenance cost is dramatically lower. Energy cost is dramatically lower through passive solar and geothermal integration. Total cost of housing across the service life is dramatically less than conventional construction across the same period.</w:t>
      </w:r>
    </w:p>
    <w:p>
      <w:pPr>
        <w:spacing w:after="160"/>
      </w:pPr>
      <w:r>
        <w:t xml:space="preserve">Smaller worker housing at appropriate specification (still using the integrated material palette) reduces capital cost to approximately $300,000 to $450,000 per unit. The construction quality remains substantially better than commercial alternatives at the same price point.</w:t>
      </w:r>
    </w:p>
    <w:p>
      <w:pPr>
        <w:pStyle w:val="Heading2"/>
      </w:pPr>
      <w:r>
        <w:t xml:space="preserve">Capital deployment scale</w:t>
      </w:r>
    </w:p>
    <w:p>
      <w:pPr>
        <w:spacing w:after="160"/>
      </w:pPr>
      <w:r>
        <w:t xml:space="preserve">Across the four county service area, Phase 1 housing deployment includes approximately 50 to 100 professional houses, 100 to 300 producer cooperative member tenant houses, and 200 to 500 worker houses. Total Phase 1 housing capital is approximately $200 million to $500 million through the integrated build partnership.</w:t>
      </w:r>
    </w:p>
    <w:p>
      <w:pPr>
        <w:spacing w:after="160"/>
      </w:pPr>
      <w:r>
        <w:t xml:space="preserve">Capital sourcing matches the multi-decade asset holding period. Patient capital partners providing below-market returns on aligned mission investment are a primary source. Specific affordable housing financing mechanisms (LIHTC, USDA Rural Development, workforce housing programs) supplement patient capital for qualifying portions of the housing portfolio.</w:t>
      </w:r>
    </w:p>
    <w:p>
      <w:pPr>
        <w:pStyle w:val="Heading1"/>
        <w:pageBreakBefore/>
      </w:pPr>
      <w:r>
        <w:t xml:space="preserve">Logistics and Transportation</w:t>
      </w:r>
    </w:p>
    <w:p>
      <w:pPr>
        <w:spacing w:after="160"/>
      </w:pPr>
      <w:r>
        <w:t xml:space="preserve">The architecture's logistics infrastructure focuses on rail and sea as the primary transportation modes. Rail and sea operate at scales and costs that road and air transportation cannot match for bulk commodity movement. The architecture invests in rail and sea connectivity because these modes support the multi-regional and eventually international scale the architecture is operating at.</w:t>
      </w:r>
    </w:p>
    <w:p>
      <w:pPr>
        <w:spacing w:after="160"/>
      </w:pPr>
      <w:r>
        <w:t xml:space="preserve">The architecture owns transportation infrastructure where ownership is achievable. Owning the ship rather than depending on commercial shipping. Owning rail where shortlines or specific track ownership is purchasable. Owning rolling stock and the rail integration with Class I networks for long-haul movement.</w:t>
      </w:r>
    </w:p>
    <w:p>
      <w:pPr>
        <w:pStyle w:val="Heading2"/>
      </w:pPr>
      <w:r>
        <w:t xml:space="preserve">Rail infrastructure</w:t>
      </w:r>
    </w:p>
    <w:p>
      <w:pPr>
        <w:spacing w:after="160"/>
      </w:pPr>
      <w:r>
        <w:t xml:space="preserve">The Chattooga and Chickamauga Railway connection at the milling and distribution hub is the foundation. The shortline railway connects the architecture's regional operations to the broader Class I rail network.</w:t>
      </w:r>
    </w:p>
    <w:p>
      <w:pPr>
        <w:spacing w:after="160"/>
      </w:pPr>
      <w:r>
        <w:t xml:space="preserve">Rolling stock fleet with on-car production capability. The rolling stock supports distribution across the architecture's regional footprint and integrates with Class I networks (CSX, Norfolk Southern) for long-haul movement to expansion regions and to the cells in non-contiguous regions.</w:t>
      </w:r>
    </w:p>
    <w:p>
      <w:pPr>
        <w:spacing w:after="160"/>
      </w:pPr>
      <w:r>
        <w:t xml:space="preserve">Future rail acquisitions where shortline operations or specific track ownership becomes available. The architecture acquires rail capability that supports specific operational requirements where acquisition is structurally feasible. Trackage rights and operating agreements provide reliable access to specific rail routes where ownership is not achievable.</w:t>
      </w:r>
    </w:p>
    <w:p>
      <w:pPr>
        <w:spacing w:after="160"/>
      </w:pPr>
      <w:r>
        <w:t xml:space="preserve">Industrial spurs and switching operations. The architecture's facilities (the milling and distribution hub, the processing facility, the preservation cluster, the Marion County terminal, future facilities at expansion regions) include rail spur infrastructure that the architecture owns directly.</w:t>
      </w:r>
    </w:p>
    <w:p>
      <w:pPr>
        <w:pStyle w:val="Heading2"/>
      </w:pPr>
      <w:r>
        <w:t xml:space="preserve">Sea and inland waterway infrastructure</w:t>
      </w:r>
    </w:p>
    <w:p>
      <w:pPr>
        <w:spacing w:after="160"/>
      </w:pPr>
      <w:r>
        <w:t xml:space="preserve">The Marion County, Tennessee terminal on the Tennessee River provides barge access to the broader inland waterway system. The Tennessee River connects to the Ohio River, the Mississippi River, and the Gulf of Mexico. From the Gulf, ocean shipping reaches international markets directly.</w:t>
      </w:r>
    </w:p>
    <w:p>
      <w:pPr>
        <w:spacing w:after="160"/>
      </w:pPr>
      <w:r>
        <w:t xml:space="preserve">The architecture's inland barge infrastructure provides bulk commodity movement at costs no other mode matches for the routes it serves. The terminal at Marion County is the architecture's highest-capacity logistics node.</w:t>
      </w:r>
    </w:p>
    <w:p>
      <w:pPr>
        <w:spacing w:after="160"/>
      </w:pPr>
      <w:r>
        <w:t xml:space="preserve">Future ship ownership. As the architecture grows toward international cells, the architecture establishes ocean shipping capability through ship ownership rather than commercial shipping dependency. A modern cargo ship suitable for the architecture's needs costs $50 million to $200 million depending on size, capability, and specifications. Operating costs are $5 million to $15 million per year.</w:t>
      </w:r>
    </w:p>
    <w:p>
      <w:pPr>
        <w:spacing w:after="160"/>
      </w:pPr>
      <w:r>
        <w:t xml:space="preserve">Future port infrastructure as international trade volume justifies port facility investment. Port facilities at specific Gulf or East Coast ports, container handling capability, and the broader logistics infrastructure that international trade requires. Investments scale with trade volume.</w:t>
      </w:r>
    </w:p>
    <w:p>
      <w:pPr>
        <w:pStyle w:val="Heading2"/>
      </w:pPr>
      <w:r>
        <w:t xml:space="preserve">The Marion County terminal</w:t>
      </w:r>
    </w:p>
    <w:p>
      <w:pPr>
        <w:spacing w:after="160"/>
      </w:pPr>
      <w:r>
        <w:t xml:space="preserve">The Marion County terminal in Tennessee is operationally integrated with the four county service area despite being outside the JDA boundary. The terminal serves as the architecture's inland port providing barge access for bulk commodity movement. Capital deployment for the terminal is approximately $20 million to $35 million.</w:t>
      </w:r>
    </w:p>
    <w:p>
      <w:pPr>
        <w:pStyle w:val="Heading2"/>
      </w:pPr>
      <w:r>
        <w:t xml:space="preserve">Multimodal logistics through integrated build partnership</w:t>
      </w:r>
    </w:p>
    <w:p>
      <w:pPr>
        <w:spacing w:after="160"/>
      </w:pPr>
      <w:r>
        <w:t xml:space="preserve">The architecture rides on Tom's integrated build partnership multimodal logistics. Tom's operations require freight movement that supports specific routes. The architecture's freight piggybacks on these routes through deadhead elimination arrangements that provide logistics at cost basis advantages the cooperative could not achieve operating logistics independently.</w:t>
      </w:r>
    </w:p>
    <w:p>
      <w:pPr>
        <w:pStyle w:val="Heading1"/>
        <w:pageBreakBefore/>
      </w:pPr>
      <w:r>
        <w:t xml:space="preserve">Supplier Incubation</w:t>
      </w:r>
    </w:p>
    <w:p>
      <w:pPr>
        <w:spacing w:after="160"/>
      </w:pPr>
      <w:r>
        <w:t xml:space="preserve">The architecture operates as an incubator for its supplier ecosystem. The architecture publishes its demand requirements so the supplier ecosystem can develop around it. The architecture provides transparent pricing so suppliers can plan production and investment with reliable demand. The architecture supports startup and scaling for new suppliers entering the architecture's supply chain.</w:t>
      </w:r>
    </w:p>
    <w:p>
      <w:pPr>
        <w:pStyle w:val="Heading2"/>
      </w:pPr>
      <w:r>
        <w:t xml:space="preserve">Published demand</w:t>
      </w:r>
    </w:p>
    <w:p>
      <w:pPr>
        <w:spacing w:after="160"/>
      </w:pPr>
      <w:r>
        <w:t xml:space="preserve">The architecture publishes lists of needed crops and products. Producers and suppliers see what the architecture buys, in what volumes, and at what price points. This is structurally different from commodity markets where producers grow what they hope someone will buy at unpredictable prices. Producers entering the architecture's supply chain know what to grow, how much to grow, and what they will receive for it.</w:t>
      </w:r>
    </w:p>
    <w:p>
      <w:pPr>
        <w:spacing w:after="160"/>
      </w:pPr>
      <w:r>
        <w:t xml:space="preserve">The published demand includes:</w:t>
      </w:r>
    </w:p>
    <w:p>
      <w:pPr>
        <w:pStyle w:val="ListParagraph"/>
        <w:numPr>
          <w:ilvl w:val="0"/>
          <w:numId w:val="2"/>
        </w:numPr>
        <w:spacing w:after="120"/>
      </w:pPr>
      <w:r>
        <w:t xml:space="preserve">Grain requirements (wheat, corn, oats, barley, rice) at volumes and quality specifications appropriate to cooperative milling and distribution operations.</w:t>
      </w:r>
    </w:p>
    <w:p>
      <w:pPr>
        <w:pStyle w:val="ListParagraph"/>
        <w:numPr>
          <w:ilvl w:val="0"/>
          <w:numId w:val="2"/>
        </w:numPr>
        <w:spacing w:after="120"/>
      </w:pPr>
      <w:r>
        <w:t xml:space="preserve">Vegetable requirements at volumes and varieties appropriate to cooperative preservation, distribution, and barn cafeteria operations.</w:t>
      </w:r>
    </w:p>
    <w:p>
      <w:pPr>
        <w:pStyle w:val="ListParagraph"/>
        <w:numPr>
          <w:ilvl w:val="0"/>
          <w:numId w:val="2"/>
        </w:numPr>
        <w:spacing w:after="120"/>
      </w:pPr>
      <w:r>
        <w:t xml:space="preserve">Fruit requirements at volumes and varieties appropriate to cooperative processing and distribution.</w:t>
      </w:r>
    </w:p>
    <w:p>
      <w:pPr>
        <w:pStyle w:val="ListParagraph"/>
        <w:numPr>
          <w:ilvl w:val="0"/>
          <w:numId w:val="2"/>
        </w:numPr>
        <w:spacing w:after="120"/>
      </w:pPr>
      <w:r>
        <w:t xml:space="preserve">Livestock requirements (beef, pork, poultry, dairy, eggs) at volumes appropriate to cooperative processing, milling, and distribution operations.</w:t>
      </w:r>
    </w:p>
    <w:p>
      <w:pPr>
        <w:pStyle w:val="ListParagraph"/>
        <w:numPr>
          <w:ilvl w:val="0"/>
          <w:numId w:val="2"/>
        </w:numPr>
        <w:spacing w:after="120"/>
      </w:pPr>
      <w:r>
        <w:t xml:space="preserve">Specialty crop requirements (hops, sunflowers, herbs, specific varietals) supporting brewery operations, oil production, and other specialized cooperative production.</w:t>
      </w:r>
    </w:p>
    <w:p>
      <w:pPr>
        <w:pStyle w:val="ListParagraph"/>
        <w:numPr>
          <w:ilvl w:val="0"/>
          <w:numId w:val="2"/>
        </w:numPr>
        <w:spacing w:after="120"/>
      </w:pPr>
      <w:r>
        <w:t xml:space="preserve">Construction material requirements supporting the integrated build partnership operations beyond what the architecture's own verticals produce.</w:t>
      </w:r>
    </w:p>
    <w:p>
      <w:pPr>
        <w:pStyle w:val="Heading2"/>
      </w:pPr>
      <w:r>
        <w:t xml:space="preserve">Transparent pricing</w:t>
      </w:r>
    </w:p>
    <w:p>
      <w:pPr>
        <w:spacing w:after="160"/>
      </w:pPr>
      <w:r>
        <w:t xml:space="preserve">The architecture publishes pricing structures that suppliers can rely on. Prices reflect the actual value the production delivers to the cooperative's demand network. Producers receive a fair share of the value chain rather than commodity prices that strip producers of the value chain margin.</w:t>
      </w:r>
    </w:p>
    <w:p>
      <w:pPr>
        <w:spacing w:after="160"/>
      </w:pPr>
      <w:r>
        <w:t xml:space="preserve">Pricing transparency operates across multiple time horizons. Current pricing for current production. Multi-year pricing commitments for producers entering covenant relationships with the cooperative. Long-term pricing trajectories that support multi-decade producer planning.</w:t>
      </w:r>
    </w:p>
    <w:p>
      <w:pPr>
        <w:pStyle w:val="Heading2"/>
      </w:pPr>
      <w:r>
        <w:t xml:space="preserve">Startup support</w:t>
      </w:r>
    </w:p>
    <w:p>
      <w:pPr>
        <w:spacing w:after="160"/>
      </w:pPr>
      <w:r>
        <w:t xml:space="preserve">The architecture supports new suppliers entering the supply chain through specific mechanisms:</w:t>
      </w:r>
    </w:p>
    <w:p>
      <w:pPr>
        <w:pStyle w:val="ListParagraph"/>
        <w:numPr>
          <w:ilvl w:val="0"/>
          <w:numId w:val="2"/>
        </w:numPr>
        <w:spacing w:after="120"/>
      </w:pPr>
      <w:r>
        <w:t xml:space="preserve">Technical support for production. The architecture's agronomists, livestock specialists, and other technical staff support producers in developing the production capability the cooperative needs.</w:t>
      </w:r>
    </w:p>
    <w:p>
      <w:pPr>
        <w:pStyle w:val="ListParagraph"/>
        <w:numPr>
          <w:ilvl w:val="0"/>
          <w:numId w:val="2"/>
        </w:numPr>
        <w:spacing w:after="120"/>
      </w:pPr>
      <w:r>
        <w:t xml:space="preserve">Equipment access. Cooperative equipment, processing infrastructure, and the broader operational infrastructure available to producers at member pricing or through specific cooperative arrangements.</w:t>
      </w:r>
    </w:p>
    <w:p>
      <w:pPr>
        <w:pStyle w:val="ListParagraph"/>
        <w:numPr>
          <w:ilvl w:val="0"/>
          <w:numId w:val="2"/>
        </w:numPr>
        <w:spacing w:after="120"/>
      </w:pPr>
      <w:r>
        <w:t xml:space="preserve">Capital support. Direct financing, financing guarantees, or coordination with USDA Rural Development, CDFI lenders, and other community development financing sources for qualifying startup operations.</w:t>
      </w:r>
    </w:p>
    <w:p>
      <w:pPr>
        <w:pStyle w:val="ListParagraph"/>
        <w:numPr>
          <w:ilvl w:val="0"/>
          <w:numId w:val="2"/>
        </w:numPr>
        <w:spacing w:after="120"/>
      </w:pPr>
      <w:r>
        <w:t xml:space="preserve">Education and training. The CTAE pipeline integration, the apprenticeship system, and direct training operations support producer skill development.</w:t>
      </w:r>
    </w:p>
    <w:p>
      <w:pPr>
        <w:pStyle w:val="ListParagraph"/>
        <w:numPr>
          <w:ilvl w:val="0"/>
          <w:numId w:val="2"/>
        </w:numPr>
        <w:spacing w:after="120"/>
      </w:pPr>
      <w:r>
        <w:t xml:space="preserve">Market access. The cooperative's demand provides the market that startup suppliers depend on while building operational capacity.</w:t>
      </w:r>
    </w:p>
    <w:p>
      <w:pPr>
        <w:spacing w:after="160"/>
      </w:pPr>
      <w:r>
        <w:t xml:space="preserve">This is structurally different from how commodity markets relate to suppliers. Commodity markets do not support supplier startup. Commodity markets do not provide technical support, equipment access, or capital support for new producers. The architecture's incubation function creates supplier capacity that would not exist otherwise.</w:t>
      </w:r>
    </w:p>
    <w:p>
      <w:pPr>
        <w:pStyle w:val="Heading1"/>
        <w:pageBreakBefore/>
      </w:pPr>
      <w:r>
        <w:t xml:space="preserve">Strategic Positioning</w:t>
      </w:r>
    </w:p>
    <w:p>
      <w:pPr>
        <w:spacing w:after="160"/>
      </w:pPr>
      <w:r>
        <w:t xml:space="preserve">The architecture's strategic position relative to corporate agricultural and broader corporate competitors is structurally significant. Several specific elements that determine the architecture's competitive geometry and exponential growth pattern.</w:t>
      </w:r>
    </w:p>
    <w:p>
      <w:pPr>
        <w:pStyle w:val="Heading2"/>
      </w:pPr>
      <w:r>
        <w:t xml:space="preserve">Cutting off corporate competitors at the production base</w:t>
      </w:r>
    </w:p>
    <w:p>
      <w:pPr>
        <w:spacing w:after="160"/>
      </w:pPr>
      <w:r>
        <w:t xml:space="preserve">Corporate agricultural operators depend on family farmers as their distributed production network. Bayer, Corteva, Syngenta, and BASF need farmers to plant their seeds and apply their chemicals. Cargill, ADM, Bunge, and Louis Dreyfus need farmers to grow their commodity crops. JBS, Tyson, Smithfield, and Pilgrim's need farmers to raise their contract animals.</w:t>
      </w:r>
    </w:p>
    <w:p>
      <w:pPr>
        <w:spacing w:after="160"/>
      </w:pPr>
      <w:r>
        <w:t xml:space="preserve">If farmers move to the architecture, the corporations lose their production base. The corporations cannot eliminate the architecture because the architecture is not a corporate competitor that can be acquired or undercut. The architecture is a network of farmers operating in covenant relationship with each other, with their churches, and with a cooperative framework that exists outside the corporate competitive geometry.</w:t>
      </w:r>
    </w:p>
    <w:p>
      <w:pPr>
        <w:spacing w:after="160"/>
      </w:pPr>
      <w:r>
        <w:t xml:space="preserve">Recovery target from corporate input suppliers alone (Bayer, Corteva, Syngenta, BASF spread of approximately $26 billion annually in U.S. agricultural inputs) is regional. Capturing the four county service area's portion of this spread is approximately $60 million to $360 million in recoverable value annually depending on the depth of cooperative member adoption. Regional capture rather than breaking the global corporations. The corporations remain global operators while the architecture captures regional production.</w:t>
      </w:r>
    </w:p>
    <w:p>
      <w:pPr>
        <w:pStyle w:val="Heading2"/>
      </w:pPr>
      <w:r>
        <w:t xml:space="preserve">Optimization for Christian farming communities</w:t>
      </w:r>
    </w:p>
    <w:p>
      <w:pPr>
        <w:spacing w:after="160"/>
      </w:pPr>
      <w:r>
        <w:t xml:space="preserve">American agriculture, particularly across the Bible Belt, the Midwest, the Plains, and the Mountain West, runs through communities where Christian church membership and active faith practice is meaningfully higher than the national average. Christian farmers exist in numbers that make them the demographic core of American agriculture.</w:t>
      </w:r>
    </w:p>
    <w:p>
      <w:pPr>
        <w:spacing w:after="160"/>
      </w:pPr>
      <w:r>
        <w:t xml:space="preserve">The architecture optimizes for Christian farmers and workers through specific structural elements:</w:t>
      </w:r>
    </w:p>
    <w:p>
      <w:pPr>
        <w:pStyle w:val="ListParagraph"/>
        <w:numPr>
          <w:ilvl w:val="0"/>
          <w:numId w:val="2"/>
        </w:numPr>
        <w:spacing w:after="120"/>
      </w:pPr>
      <w:r>
        <w:t xml:space="preserve">Sabbath rhythms. Operations rest on Sunday or operate at reduced capacity. Producer cooperative members are not expected to deliver on Sunday. Barn depots may operate limited hours or close entirely on Sunday for community gathering and worship time.</w:t>
      </w:r>
    </w:p>
    <w:p>
      <w:pPr>
        <w:pStyle w:val="ListParagraph"/>
        <w:numPr>
          <w:ilvl w:val="0"/>
          <w:numId w:val="2"/>
        </w:numPr>
        <w:spacing w:after="120"/>
      </w:pPr>
      <w:r>
        <w:t xml:space="preserve">Liturgical calendar awareness. Operations slow during Christmas, Easter, Pentecost, and other significant church seasons. Cooperative gatherings, training, and major decision making avoid Holy Week, Christmas week, and other significant church seasons.</w:t>
      </w:r>
    </w:p>
    <w:p>
      <w:pPr>
        <w:pStyle w:val="ListParagraph"/>
        <w:numPr>
          <w:ilvl w:val="0"/>
          <w:numId w:val="2"/>
        </w:numPr>
        <w:spacing w:after="120"/>
      </w:pPr>
      <w:r>
        <w:t xml:space="preserve">Prayer and Scripture in operations. Cooperative gatherings begin with prayer when appropriate. Cooperative meetings include space for Scripture reading and reflection. Documents and communications use language reflecting Christian theological vocabulary where appropriate without being preachy or excluding.</w:t>
      </w:r>
    </w:p>
    <w:p>
      <w:pPr>
        <w:pStyle w:val="ListParagraph"/>
        <w:numPr>
          <w:ilvl w:val="0"/>
          <w:numId w:val="2"/>
        </w:numPr>
        <w:spacing w:after="120"/>
      </w:pPr>
      <w:r>
        <w:t xml:space="preserve">Covenant rather than contract framing. Producer cooperative member relationships are framed as covenant rather than as contract. The legal structure is contractual but the relational framing is covenant. This matches how Christian farmers think about their relationships with land, neighbors, institutions, and God.</w:t>
      </w:r>
    </w:p>
    <w:p>
      <w:pPr>
        <w:pStyle w:val="ListParagraph"/>
        <w:numPr>
          <w:ilvl w:val="0"/>
          <w:numId w:val="2"/>
        </w:numPr>
        <w:spacing w:after="120"/>
      </w:pPr>
      <w:r>
        <w:t xml:space="preserve">Steward language for land. The architecture refers to land stewardship rather than land ownership in many contexts. Producers steward the land they farm. The cooperative stewards the regional production base. Churches that hold farmland steward it on behalf of the broader community. This language reflects the biblical tradition that land ultimately belongs to God.</w:t>
      </w:r>
    </w:p>
    <w:p>
      <w:pPr>
        <w:pStyle w:val="ListParagraph"/>
        <w:numPr>
          <w:ilvl w:val="0"/>
          <w:numId w:val="2"/>
        </w:numPr>
        <w:spacing w:after="120"/>
      </w:pPr>
      <w:r>
        <w:t xml:space="preserve">Multi-generational horizon. The architecture operates on multi-generational timeframes. Producer cooperative member equity builds across decades. Land stewardship covenants run across generations. The architecture's success is measured in what it leaves to children and grandchildren.</w:t>
      </w:r>
    </w:p>
    <w:p>
      <w:pPr>
        <w:pStyle w:val="ListParagraph"/>
        <w:numPr>
          <w:ilvl w:val="0"/>
          <w:numId w:val="2"/>
        </w:numPr>
        <w:spacing w:after="120"/>
      </w:pPr>
      <w:r>
        <w:t xml:space="preserve">Modesty in operations. Plain packaging. Simple branding. Direct communication. No marketing puffery. The architecture is what it is.</w:t>
      </w:r>
    </w:p>
    <w:p>
      <w:pPr>
        <w:pStyle w:val="ListParagraph"/>
        <w:numPr>
          <w:ilvl w:val="0"/>
          <w:numId w:val="2"/>
        </w:numPr>
        <w:spacing w:after="120"/>
      </w:pPr>
      <w:r>
        <w:t xml:space="preserve">Honest pricing. Producer member pricing is transparent. Anchor account pricing is transparent. Member household pricing is transparent. The architecture does not require farmers to negotiate aggressively or to suspect the cooperative.</w:t>
      </w:r>
    </w:p>
    <w:p>
      <w:pPr>
        <w:pStyle w:val="ListParagraph"/>
        <w:numPr>
          <w:ilvl w:val="0"/>
          <w:numId w:val="2"/>
        </w:numPr>
        <w:spacing w:after="120"/>
      </w:pPr>
      <w:r>
        <w:t xml:space="preserve">Rest from extractive pressures. The architecture removes extractive pressures that corporate agricultural operations put on farmers. Constant pressure to maximize yield at the cost of soil health. Pressure to use specific chemicals from specific suppliers. Pressure to take on debt for new equipment or new genetics. Pressure to grow whatever the commodity market demands. The architecture removes these pressures because the architecture's operations do not require them.</w:t>
      </w:r>
    </w:p>
    <w:p>
      <w:pPr>
        <w:pStyle w:val="Heading2"/>
      </w:pPr>
      <w:r>
        <w:t xml:space="preserve">Exponential node growth</w:t>
      </w:r>
    </w:p>
    <w:p>
      <w:pPr>
        <w:spacing w:after="160"/>
      </w:pPr>
      <w:r>
        <w:t xml:space="preserve">The architecture grows exponentially in nodes that cannot be eliminated by corporations. Linear growth in nodes produces quadratic growth in possible connections. Quadratic growth in connections produces exponential growth in network value. Network value is what makes the architecture work because network value is what makes participation worthwhile to each new node.</w:t>
      </w:r>
    </w:p>
    <w:p>
      <w:pPr>
        <w:spacing w:after="160"/>
      </w:pPr>
      <w:r>
        <w:t xml:space="preserve">The growth happens through several specific mechanisms:</w:t>
      </w:r>
    </w:p>
    <w:p>
      <w:pPr>
        <w:pStyle w:val="ListParagraph"/>
        <w:numPr>
          <w:ilvl w:val="0"/>
          <w:numId w:val="2"/>
        </w:numPr>
        <w:spacing w:after="120"/>
      </w:pPr>
      <w:r>
        <w:t xml:space="preserve">Replication of the framework. The mission framework is documented and made available. Any church confessing the foundational confession can use it. Churches in adjacent counties, in adjacent states, and across the broader regional footprint adopt the framework as easily as churches in the four county service area. The cooperative may provide support, training, and supply chain access, but the cooperative does not control the churches' use of the framework.</w:t>
      </w:r>
    </w:p>
    <w:p>
      <w:pPr>
        <w:pStyle w:val="ListParagraph"/>
        <w:numPr>
          <w:ilvl w:val="0"/>
          <w:numId w:val="2"/>
        </w:numPr>
        <w:spacing w:after="120"/>
      </w:pPr>
      <w:r>
        <w:t xml:space="preserve">Producer member network expansion. Producer cooperative members in one region introduce the cooperative to producers in their networks. Christian farming communities are interconnected through family relationships, church associations, agricultural associations, and the geography of rural communities. The recruiting compounds because each new producer member has their own network of Christian farmers.</w:t>
      </w:r>
    </w:p>
    <w:p>
      <w:pPr>
        <w:pStyle w:val="ListParagraph"/>
        <w:numPr>
          <w:ilvl w:val="0"/>
          <w:numId w:val="2"/>
        </w:numPr>
        <w:spacing w:after="120"/>
      </w:pPr>
      <w:r>
        <w:t xml:space="preserve">Church network expansion. Churches participating in the mission framework introduce the framework to other churches in their associations and denominational networks. The framework spreads through church networks the way church planting and revival movements have always spread.</w:t>
      </w:r>
    </w:p>
    <w:p>
      <w:pPr>
        <w:pStyle w:val="ListParagraph"/>
        <w:numPr>
          <w:ilvl w:val="0"/>
          <w:numId w:val="2"/>
        </w:numPr>
        <w:spacing w:after="120"/>
      </w:pPr>
      <w:r>
        <w:t xml:space="preserve">Multi-cooperative network. As the framework spreads geographically beyond what any single cooperative can serve operationally, additional cooperatives emerge in other regions to serve producers and churches in those regions. The cooperatives operate on the same architectural framework with shared standards but regional adaptation.</w:t>
      </w:r>
    </w:p>
    <w:p>
      <w:pPr>
        <w:pStyle w:val="Heading2"/>
      </w:pPr>
      <w:r>
        <w:t xml:space="preserve">Expansion methodology</w:t>
      </w:r>
    </w:p>
    <w:p>
      <w:pPr>
        <w:spacing w:after="160"/>
      </w:pPr>
      <w:r>
        <w:t xml:space="preserve">The architecture has the capital from established operations. The architecture finds the next region. The architecture determines the vertical that fits the region. The architecture enters by bringing services and building housing.</w:t>
      </w:r>
    </w:p>
    <w:p>
      <w:pPr>
        <w:spacing w:after="160"/>
      </w:pPr>
      <w:r>
        <w:t xml:space="preserve">The architecture moves into regions that already have industrial heritage in the specific vertical. The architecture trains its own workforce through the worker progression structure but operates inside existing industrial ecosystems rather than trying to build industrial capability from scratch. Pittsburgh for steel. The southeastern gold belt for gold mining. Ducktown adjacent operations for copper mining. The Marcellus and Utica formations for natural gas. Wisconsin or Vermont for cheese and dairy. The Carolinas for textiles and furniture. Pickens County for marble. Each region's vertical reflects what makes sense given the region's actual industrial heritage.</w:t>
      </w:r>
    </w:p>
    <w:p>
      <w:pPr>
        <w:spacing w:after="160"/>
      </w:pPr>
      <w:r>
        <w:t xml:space="preserve">Each direction the architecture grows in is responsible for a vertical. Geographic expansion carries operational expansion. The two dimensions of architectural growth are integrated rather than separate.</w:t>
      </w:r>
    </w:p>
    <w:p>
      <w:pPr>
        <w:pStyle w:val="Heading2"/>
      </w:pPr>
      <w:r>
        <w:t xml:space="preserve">Contiguous and non-contiguous expansion</w:t>
      </w:r>
    </w:p>
    <w:p>
      <w:pPr>
        <w:spacing w:after="160"/>
      </w:pPr>
      <w:r>
        <w:t xml:space="preserve">The architecture maintains contiguous geographic expansion as primary growth pattern through the Appalachian footprint. The four county foundation extends through adjacent counties, then through adjacent regions, then through the broader Appalachian footprint.</w:t>
      </w:r>
    </w:p>
    <w:p>
      <w:pPr>
        <w:spacing w:after="160"/>
      </w:pPr>
      <w:r>
        <w:t xml:space="preserve">Simultaneously the architecture establishes non-contiguous nodes in other regions and other countries. These nodes operate as separate cells engaging with their specific regional verticals. The cells become trade partners with the contiguous architecture through covenant trade relationships operating on rail and sea transportation.</w:t>
      </w:r>
    </w:p>
    <w:p>
      <w:pPr>
        <w:spacing w:after="160"/>
      </w:pPr>
      <w:r>
        <w:t xml:space="preserve">The Cherokee clan principle from The Line operates at architectural scale. Each cell is a clan in the broader architectural federation. Each cell governs itself inside its regional context. The cells coordinate with the contiguous architecture through covenant trade. To outside actors, the architecture presents one pot through the broader institutional structure. Internal economy among cells operates through covenant trade between covenant operations.</w:t>
      </w:r>
    </w:p>
    <w:p>
      <w:pPr>
        <w:pStyle w:val="Heading2"/>
      </w:pPr>
      <w:r>
        <w:t xml:space="preserve">Strategic indifference to internal benefit allocation</w:t>
      </w:r>
    </w:p>
    <w:p>
      <w:pPr>
        <w:spacing w:after="160"/>
      </w:pPr>
      <w:r>
        <w:t xml:space="preserve">The architecture does not care which entity inside the group captures specific economic benefit from any specific operation or transaction. Anyone inside the group can capture the revenue. The architecture cares about driving costs down across the system and eliminating market share from corporate competitors.</w:t>
      </w:r>
    </w:p>
    <w:p>
      <w:pPr>
        <w:spacing w:after="160"/>
      </w:pPr>
      <w:r>
        <w:t xml:space="preserve">Corporate competitors operate as integrated ecosystems that capture regional value through their interconnected operations. The architecture operates the same way, with internal flexibility about which entity captures which specific benefit as long as the revenue stays inside the broader architectural ecosystem rather than flowing to corporate competitors.</w:t>
      </w:r>
    </w:p>
    <w:p>
      <w:pPr>
        <w:spacing w:after="160"/>
      </w:pPr>
      <w:r>
        <w:t xml:space="preserve">This applies across the architecture. The cooperative captures specific revenue. The integrated build partnership captures specific revenue. Participating churches capture specific economic benefit through legitimate church operations. Producer cooperative members capture substantial benefit through the package. Workers capture substantial benefit through the worker progression structure. Professionals capture substantial benefit through professional recruitment housing and offices. The aggregate benefit captured by group members strengthens the architecture's competitive position.</w:t>
      </w:r>
    </w:p>
    <w:p>
      <w:pPr>
        <w:pStyle w:val="Heading1"/>
        <w:pageBreakBefore/>
      </w:pPr>
      <w:r>
        <w:t xml:space="preserve">Capital Structure</w:t>
      </w:r>
    </w:p>
    <w:p>
      <w:pPr>
        <w:spacing w:after="160"/>
      </w:pPr>
      <w:r>
        <w:t xml:space="preserve">The cooperative carries the heavy capital infrastructure. The capital structure includes investment with built-in exits or dividends, patient capital partner participation, and specific affordable housing and community development financing mechanisms that legitimately support the architecture's qualifying operations.</w:t>
      </w:r>
    </w:p>
    <w:p>
      <w:pPr>
        <w:pStyle w:val="Heading2"/>
      </w:pPr>
      <w:r>
        <w:t xml:space="preserve">Investment with built-in exits or dividends</w:t>
      </w:r>
    </w:p>
    <w:p>
      <w:pPr>
        <w:spacing w:after="160"/>
      </w:pPr>
      <w:r>
        <w:t xml:space="preserve">Investment in the cooperative does not operate as traditional venture capital or private equity. Traditional equity ownership creates investor expectations of unlimited upside through eventual sale or public offering. The architecture cannot operate under those expectations because the architecture is structurally committed to long-term operation under covenant equity discipline rather than to maximizing exit value for investors.</w:t>
      </w:r>
    </w:p>
    <w:p>
      <w:pPr>
        <w:spacing w:after="160"/>
      </w:pPr>
      <w:r>
        <w:t xml:space="preserve">The investment is structured to provide investors with defined returns through specific mechanisms:</w:t>
      </w:r>
    </w:p>
    <w:p>
      <w:pPr>
        <w:pStyle w:val="ListParagraph"/>
        <w:numPr>
          <w:ilvl w:val="0"/>
          <w:numId w:val="2"/>
        </w:numPr>
        <w:spacing w:after="120"/>
      </w:pPr>
      <w:r>
        <w:t xml:space="preserve">Exits built in. Investment positions include defined exit terms after specific holding periods at defined valuation methodologies. The cooperative or its designated successor entities can repurchase investor positions at exit. The repurchase terms are established at investment time so investors know their exit pathway.</w:t>
      </w:r>
    </w:p>
    <w:p>
      <w:pPr>
        <w:pStyle w:val="ListParagraph"/>
        <w:numPr>
          <w:ilvl w:val="0"/>
          <w:numId w:val="2"/>
        </w:numPr>
        <w:spacing w:after="120"/>
      </w:pPr>
      <w:r>
        <w:t xml:space="preserve">Dividend structures. Investment positions receive dividend distributions from cooperative operating cash flow at defined rates. The dividends provide ongoing returns across the investment holding period rather than concentrated returns at exit.</w:t>
      </w:r>
    </w:p>
    <w:p>
      <w:pPr>
        <w:pStyle w:val="ListParagraph"/>
        <w:numPr>
          <w:ilvl w:val="0"/>
          <w:numId w:val="2"/>
        </w:numPr>
        <w:spacing w:after="120"/>
      </w:pPr>
      <w:r>
        <w:t xml:space="preserve">Combined exit and dividend structures. Some investment positions combine ongoing dividends with eventual exit at defined terms. The combination provides current income and eventual capital return.</w:t>
      </w:r>
    </w:p>
    <w:p>
      <w:pPr>
        <w:spacing w:after="160"/>
      </w:pPr>
      <w:r>
        <w:t xml:space="preserve">Investment terms are established at investment time. Investors evaluate the architecture's prospects against the defined terms rather than expecting unlimited upside. The architecture maintains structural integrity because investor expectations are bounded by the defined terms.</w:t>
      </w:r>
    </w:p>
    <w:p>
      <w:pPr>
        <w:pStyle w:val="Heading2"/>
      </w:pPr>
      <w:r>
        <w:t xml:space="preserve">Patient capital partners</w:t>
      </w:r>
    </w:p>
    <w:p>
      <w:pPr>
        <w:spacing w:after="160"/>
      </w:pPr>
      <w:r>
        <w:t xml:space="preserve">Patient capital partners providing below-market returns on aligned mission investment are a primary capital source. Patient capital matches the multi-decade asset holding period of the architecture's infrastructure. Mining operations, housing infrastructure, transportation assets, and the broader long-life infrastructure generates returns across decades from the initial capital deployment.</w:t>
      </w:r>
    </w:p>
    <w:p>
      <w:pPr>
        <w:spacing w:after="160"/>
      </w:pPr>
      <w:r>
        <w:t xml:space="preserve">Patient capital partners participate at terms reflecting their patient capital position. Below-market interest rates. Long-term commitment. Mission alignment with the architecture's covenant equity discipline and minimally extractive structural commitments. The patient capital is not subordinated to commercial capital because patient capital terms are different from commercial capital terms.</w:t>
      </w:r>
    </w:p>
    <w:p>
      <w:pPr>
        <w:pStyle w:val="Heading2"/>
      </w:pPr>
      <w:r>
        <w:t xml:space="preserve">Affordable housing and community development financing</w:t>
      </w:r>
    </w:p>
    <w:p>
      <w:pPr>
        <w:spacing w:after="160"/>
      </w:pPr>
      <w:r>
        <w:t xml:space="preserve">Specific federal and state programs support qualifying portions of the architecture's infrastructure development:</w:t>
      </w:r>
    </w:p>
    <w:p>
      <w:pPr>
        <w:pStyle w:val="ListParagraph"/>
        <w:numPr>
          <w:ilvl w:val="0"/>
          <w:numId w:val="2"/>
        </w:numPr>
        <w:spacing w:after="120"/>
      </w:pPr>
      <w:r>
        <w:t xml:space="preserve">Low Income Housing Tax Credits (LIHTC). The federal LIHTC program funds 30 to 70 percent of qualifying affordable housing project capital. The architecture's worker housing development qualifies for LIHTC in many configurations. LIHTC requires specific project structures (typically Limited Partnerships with the tax credit investor as Limited Partner), specific compliance requirements (rent restrictions, income restrictions, ongoing reporting), and specific developer expertise. The architecture engages with LIHTC through dedicated entities handling the specific compliance burden while the housing integrates with the broader cooperative architecture.</w:t>
      </w:r>
    </w:p>
    <w:p>
      <w:pPr>
        <w:pStyle w:val="ListParagraph"/>
        <w:numPr>
          <w:ilvl w:val="0"/>
          <w:numId w:val="2"/>
        </w:numPr>
        <w:spacing w:after="120"/>
      </w:pPr>
      <w:r>
        <w:t xml:space="preserve">Workforce housing initiatives. State and federal workforce housing programs provide grants, low-cost financing, and tax incentives for housing serving working households at moderate income levels. Georgia and Tennessee both operate workforce housing programs through state agencies and regional development authorities.</w:t>
      </w:r>
    </w:p>
    <w:p>
      <w:pPr>
        <w:pStyle w:val="ListParagraph"/>
        <w:numPr>
          <w:ilvl w:val="0"/>
          <w:numId w:val="2"/>
        </w:numPr>
        <w:spacing w:after="120"/>
      </w:pPr>
      <w:r>
        <w:t xml:space="preserve">Tax-exempt bond financing. State and local government conduit issuers issue tax-exempt bonds for qualifying public purposes. The JDA can issue tax-exempt bonds for qualifying economic development projects in the four county service area. Bonds carry lower interest rates than commercial debt because investors do not pay federal income tax on the interest. Qualifying architecture infrastructure can be financed through these bonds.</w:t>
      </w:r>
    </w:p>
    <w:p>
      <w:pPr>
        <w:pStyle w:val="ListParagraph"/>
        <w:numPr>
          <w:ilvl w:val="0"/>
          <w:numId w:val="2"/>
        </w:numPr>
        <w:spacing w:after="120"/>
      </w:pPr>
      <w:r>
        <w:t xml:space="preserve">USDA Rural Development financing. USDA Rural Development operates substantial loan and grant programs for rural infrastructure, rural housing, rural business development, rural cooperative development, and rural community facilities. The architecture's operations qualify across all of these categories. Financing terms are substantially better than commercial alternatives.</w:t>
      </w:r>
    </w:p>
    <w:p>
      <w:pPr>
        <w:pStyle w:val="ListParagraph"/>
        <w:numPr>
          <w:ilvl w:val="0"/>
          <w:numId w:val="2"/>
        </w:numPr>
        <w:spacing w:after="120"/>
      </w:pPr>
      <w:r>
        <w:t xml:space="preserve">Community Development Financial Institution (CDFI) financing. CDFIs are specialized lenders focused on community development in underserved areas. They provide debt and equity capital at terms more favorable than commercial markets for qualifying projects. The architecture's operations align with CDFI mission profiles.</w:t>
      </w:r>
    </w:p>
    <w:p>
      <w:pPr>
        <w:pStyle w:val="ListParagraph"/>
        <w:numPr>
          <w:ilvl w:val="0"/>
          <w:numId w:val="2"/>
        </w:numPr>
        <w:spacing w:after="120"/>
      </w:pPr>
      <w:r>
        <w:t xml:space="preserve">New Markets Tax Credits (NMTC). The NMTC program provides tax credits for investment in qualifying low income community businesses and projects. The four county service area and many expansion regions qualify under the program's low income community criteria.</w:t>
      </w:r>
    </w:p>
    <w:p>
      <w:pPr>
        <w:pStyle w:val="ListParagraph"/>
        <w:numPr>
          <w:ilvl w:val="0"/>
          <w:numId w:val="2"/>
        </w:numPr>
        <w:spacing w:after="120"/>
      </w:pPr>
      <w:r>
        <w:t xml:space="preserve">Opportunity Zone investments. The Opportunity Zone program provides tax benefits for investment in designated opportunity zones. Multiple zones exist across the four county service area and adjacent regions. Architecture operations in these zones qualify for the tax benefits.</w:t>
      </w:r>
    </w:p>
    <w:p>
      <w:pPr>
        <w:spacing w:after="160"/>
      </w:pPr>
      <w:r>
        <w:t xml:space="preserve">The aggregate efficiency captured across these legitimate mechanisms is substantial. Specific estimates depend on project mix and financing structures, but aggregate capital cost reduction across the architecture's infrastructure development is approximately 20 to 40 percent compared to commercial financing alone.</w:t>
      </w:r>
    </w:p>
    <w:p>
      <w:pPr>
        <w:spacing w:after="160"/>
      </w:pPr>
      <w:r>
        <w:t xml:space="preserve">These mechanisms support genuine activity the architecture is genuinely doing. Affordable housing for working families. Rural economic development. Community development in low income areas. Cooperative development serving rural communities. Healthcare access in underserved areas. Each program supports the architecture's qualifying operations through structural mechanisms designed for exactly this purpose.</w:t>
      </w:r>
    </w:p>
    <w:p>
      <w:pPr>
        <w:pStyle w:val="Heading2"/>
      </w:pPr>
      <w:r>
        <w:t xml:space="preserve">Church mission framework tax positioning</w:t>
      </w:r>
    </w:p>
    <w:p>
      <w:pPr>
        <w:spacing w:after="160"/>
      </w:pPr>
      <w:r>
        <w:t xml:space="preserve">Participating churches operate inside their 501(c)(3) tax-exempt structures. Several specific advantages flow through legitimate church operations that strengthen the broader architectural ecosystem:</w:t>
      </w:r>
    </w:p>
    <w:p>
      <w:pPr>
        <w:pStyle w:val="ListParagraph"/>
        <w:numPr>
          <w:ilvl w:val="0"/>
          <w:numId w:val="2"/>
        </w:numPr>
        <w:spacing w:after="120"/>
      </w:pPr>
      <w:r>
        <w:t xml:space="preserve">Property tax exemption on church-owned property used for genuine exempt purposes. Church owned community gardens, fellowship halls, educational facilities, and ministerial housing qualify for property tax exemption when the church genuinely owns and uses the property.</w:t>
      </w:r>
    </w:p>
    <w:p>
      <w:pPr>
        <w:pStyle w:val="ListParagraph"/>
        <w:numPr>
          <w:ilvl w:val="0"/>
          <w:numId w:val="2"/>
        </w:numPr>
        <w:spacing w:after="120"/>
      </w:pPr>
      <w:r>
        <w:t xml:space="preserve">Sales tax exemption on church purchases for exempt purposes in many states.</w:t>
      </w:r>
    </w:p>
    <w:p>
      <w:pPr>
        <w:pStyle w:val="ListParagraph"/>
        <w:numPr>
          <w:ilvl w:val="0"/>
          <w:numId w:val="2"/>
        </w:numPr>
        <w:spacing w:after="120"/>
      </w:pPr>
      <w:r>
        <w:t xml:space="preserve">Donation deduction for contributors to church programs aligned with the architecture's broader mission. Donors who care about regional community development, biblical agrarian work, rural healthcare access, and the broader mission can support participating churches operating programs aligned with the ecosystem mission.</w:t>
      </w:r>
    </w:p>
    <w:p>
      <w:pPr>
        <w:spacing w:after="160"/>
      </w:pPr>
      <w:r>
        <w:t xml:space="preserve">Where churches acquire land that becomes barn nodes through cooperative operational integration, the church genuinely purchases the land using legitimate church financing. The architecture's lease commitment for barn operations provides revenue supporting the church's debt service. The architecture's relationships with USDA Rural Development, CDFI lenders, religious institution lenders, and other financing sources provide pathways the church accesses with the architecture's introduction.</w:t>
      </w:r>
    </w:p>
    <w:p>
      <w:pPr>
        <w:spacing w:after="160"/>
      </w:pPr>
      <w:r>
        <w:t xml:space="preserve">The structure must satisfy specific requirements:</w:t>
      </w:r>
    </w:p>
    <w:p>
      <w:pPr>
        <w:pStyle w:val="ListParagraph"/>
        <w:numPr>
          <w:ilvl w:val="0"/>
          <w:numId w:val="2"/>
        </w:numPr>
        <w:spacing w:after="120"/>
      </w:pPr>
      <w:r>
        <w:t xml:space="preserve">Church purpose and operation must be genuine. The church confesses the foundational confession and operates as a real church.</w:t>
      </w:r>
    </w:p>
    <w:p>
      <w:pPr>
        <w:pStyle w:val="ListParagraph"/>
        <w:numPr>
          <w:ilvl w:val="0"/>
          <w:numId w:val="2"/>
        </w:numPr>
        <w:spacing w:after="120"/>
      </w:pPr>
      <w:r>
        <w:t xml:space="preserve">Clear separation between commercial and exempt operations. The cooperative operates commercial activities. The churches operate exempt activities. Relationships are commercial (supplier, customer) plus covenant (mission framework partnership).</w:t>
      </w:r>
    </w:p>
    <w:p>
      <w:pPr>
        <w:pStyle w:val="ListParagraph"/>
        <w:numPr>
          <w:ilvl w:val="0"/>
          <w:numId w:val="2"/>
        </w:numPr>
        <w:spacing w:after="120"/>
      </w:pPr>
      <w:r>
        <w:t xml:space="preserve">Documentation and audit trails supporting the tax positions both parties take.</w:t>
      </w:r>
    </w:p>
    <w:p>
      <w:pPr>
        <w:pStyle w:val="ListParagraph"/>
        <w:numPr>
          <w:ilvl w:val="0"/>
          <w:numId w:val="2"/>
        </w:numPr>
        <w:spacing w:after="120"/>
      </w:pPr>
      <w:r>
        <w:t xml:space="preserve">Specialized legal counsel in religious nonprofit law guiding the structural design.</w:t>
      </w:r>
    </w:p>
    <w:p>
      <w:pPr>
        <w:pStyle w:val="ListParagraph"/>
        <w:numPr>
          <w:ilvl w:val="0"/>
          <w:numId w:val="2"/>
        </w:numPr>
        <w:spacing w:after="120"/>
      </w:pPr>
      <w:r>
        <w:t xml:space="preserve">Avoidance of private inurement and excess benefit transactions. Church assets cannot benefit private parties improperly outside the church's exempt purpose.</w:t>
      </w:r>
    </w:p>
    <w:p>
      <w:pPr>
        <w:pStyle w:val="ListParagraph"/>
        <w:numPr>
          <w:ilvl w:val="0"/>
          <w:numId w:val="2"/>
        </w:numPr>
        <w:spacing w:after="120"/>
      </w:pPr>
      <w:r>
        <w:t xml:space="preserve">Avoidance of unrelated business income tax (UBIT) through ensuring church operations remain primarily related to exempt purpose.</w:t>
      </w:r>
    </w:p>
    <w:p>
      <w:pPr>
        <w:spacing w:after="160"/>
      </w:pPr>
      <w:r>
        <w:t xml:space="preserve">The architecture works alongside churches that legitimately qualify for tax advantages, supports churches in their legitimate exempt operations, and benefits from broader ecosystem efficiency that church tax advantages create. The architecture does not capture tax advantages it does not legitimately qualify for. The architecture does not structure sham arrangements. The architecture operates legitimately while engaging with the broader institutional ecosystem in ways that capture available structural advantages.</w:t>
      </w:r>
    </w:p>
    <w:p>
      <w:pPr>
        <w:pStyle w:val="Heading2"/>
      </w:pPr>
      <w:r>
        <w:t xml:space="preserve">Token mechanism framework for specific functions</w:t>
      </w:r>
    </w:p>
    <w:p>
      <w:pPr>
        <w:spacing w:after="160"/>
      </w:pPr>
      <w:r>
        <w:t xml:space="preserve">The architecture may consider token mechanisms for specific functions where they genuinely add structural value while keeping the bulk of the financial architecture in traditional structures. Specific candidates for token deployment:</w:t>
      </w:r>
    </w:p>
    <w:p>
      <w:pPr>
        <w:pStyle w:val="ListParagraph"/>
        <w:numPr>
          <w:ilvl w:val="0"/>
          <w:numId w:val="2"/>
        </w:numPr>
        <w:spacing w:after="120"/>
      </w:pPr>
      <w:r>
        <w:t xml:space="preserve">A community investment token allowing community members and aligned individuals to invest in the architecture at small denominations through Reg CF or Reg A+ compliant structures. The token represents claims on architecture appreciation and production value sharing. Explicit hold restrictions and limited transferability prevent speculative trading. The token operates as a long-term covenant investment vehicle.</w:t>
      </w:r>
    </w:p>
    <w:p>
      <w:pPr>
        <w:pStyle w:val="ListParagraph"/>
        <w:numPr>
          <w:ilvl w:val="0"/>
          <w:numId w:val="2"/>
        </w:numPr>
        <w:spacing w:after="120"/>
      </w:pPr>
      <w:r>
        <w:t xml:space="preserve">A producer cooperative member equity tracking token representing accumulated member equity transparently. The token operates inside cooperative governance structure, transfers through structured succession mechanisms, and is not tradeable on open markets. The token serves as transparent accounting mechanism for member equity.</w:t>
      </w:r>
    </w:p>
    <w:p>
      <w:pPr>
        <w:pStyle w:val="ListParagraph"/>
        <w:numPr>
          <w:ilvl w:val="0"/>
          <w:numId w:val="2"/>
        </w:numPr>
        <w:spacing w:after="120"/>
      </w:pPr>
      <w:r>
        <w:t xml:space="preserve">A network coordination token if and when the architecture scales to multi-cooperative network operations. The token represents network-level governance participation and economic flows between cooperatives. Not tradeable on open markets. Operates inside network governance structure.</w:t>
      </w:r>
    </w:p>
    <w:p>
      <w:pPr>
        <w:spacing w:after="160"/>
      </w:pPr>
      <w:r>
        <w:t xml:space="preserve">The bulk of the financial architecture remains in traditional structures. Producer member draws operate through standard cooperative accounting and banking. Benefits operate through standard insurance and benefits administration. Transition insurance operates through traditional insurance mechanisms or self-funded reserves. Anchor account contracts operate through traditional commercial contracts. Patient capital partners operate through traditional partnership or LLC structures. The token mechanisms supplement traditional structures where they add specific value rather than replacing them across the board.</w:t>
      </w:r>
    </w:p>
    <w:p>
      <w:pPr>
        <w:spacing w:after="160"/>
      </w:pPr>
      <w:r>
        <w:t xml:space="preserve">The architecture must be structurally and culturally distinguished from speculative cryptocurrency activity. The covenant equity discipline, the minimally extractive structural commitments, the mission framework relational structure, and the producer cooperative member covenant relationships all operate on integrity foundations that speculative crypto culture actively corrodes. Token mechanisms must serve specific structural functions, operate inside regulatory compliance structures, avoid speculative trading dynamics, and remain transparent about what they are and are not.</w:t>
      </w:r>
    </w:p>
    <w:p>
      <w:pPr>
        <w:pStyle w:val="Heading1"/>
        <w:pageBreakBefore/>
      </w:pPr>
      <w:r>
        <w:t xml:space="preserve">Phasing and Capital Deployment</w:t>
      </w:r>
    </w:p>
    <w:p>
      <w:pPr>
        <w:spacing w:after="160"/>
      </w:pPr>
      <w:r>
        <w:t xml:space="preserve">The architecture deploys across multiple phases matched to operational capacity, capital availability, and specific opportunities. Each phase requires the previous phases to be substantially established. The discipline of letting each phase establish itself before the next phase begins is essential to operational and capital integrity.</w:t>
      </w:r>
    </w:p>
    <w:p>
      <w:pPr>
        <w:pStyle w:val="Heading2"/>
      </w:pPr>
      <w:r>
        <w:t xml:space="preserve">Minimal first step</w:t>
      </w:r>
    </w:p>
    <w:p>
      <w:pPr>
        <w:spacing w:after="160"/>
      </w:pPr>
      <w:r>
        <w:t xml:space="preserve">The minimal first step is the producer cooperative member program with insurance backstop and guaranteed buying through existing infrastructure under contract. Capital deployment is approximately $2 million to $5 million.</w:t>
      </w:r>
    </w:p>
    <w:p>
      <w:pPr>
        <w:spacing w:after="160"/>
      </w:pPr>
      <w:r>
        <w:t xml:space="preserve">This minimal first step operates without the heavy capital infrastructure that subsequent phases deploy. The cooperative recruits initial producer cooperative members, structures the package terms (draws, benefits, transition insurance, primary customer commitment), and contracts with existing processing, milling, and distribution infrastructure to handle the production initially. The cooperative establishes its operations, demonstrates its capability, and develops the operational discipline that subsequent phases will require.</w:t>
      </w:r>
    </w:p>
    <w:p>
      <w:pPr>
        <w:spacing w:after="160"/>
      </w:pPr>
      <w:r>
        <w:t xml:space="preserve">The minimal first step is the foundation that everything else builds on. Without operating producer cooperative member operations and demonstrated cooperative capability, subsequent capital deployment cannot be justified. The minimal first step establishes the proof of concept at scale that supports the broader architecture.</w:t>
      </w:r>
    </w:p>
    <w:p>
      <w:pPr>
        <w:pStyle w:val="Heading2"/>
      </w:pPr>
      <w:r>
        <w:t xml:space="preserve">Phase 1: Four county foundational deployment</w:t>
      </w:r>
    </w:p>
    <w:p>
      <w:pPr>
        <w:spacing w:after="160"/>
      </w:pPr>
      <w:r>
        <w:t xml:space="preserve">Phase 1 establishes the architecture's operational foundation in the four county service area (Catoosa, Walker, Dade, Chattooga). Capital deployment is approximately $100 million to $225 million plus working capital.</w:t>
      </w:r>
    </w:p>
    <w:p>
      <w:pPr>
        <w:spacing w:after="160"/>
      </w:pPr>
      <w:r>
        <w:t xml:space="preserve">Phase 1 elements:</w:t>
      </w:r>
    </w:p>
    <w:p>
      <w:pPr>
        <w:pStyle w:val="ListParagraph"/>
        <w:numPr>
          <w:ilvl w:val="0"/>
          <w:numId w:val="2"/>
        </w:numPr>
        <w:spacing w:after="120"/>
      </w:pPr>
      <w:r>
        <w:t xml:space="preserve">Marion County, Tennessee terminal at $20 million to $35 million.</w:t>
      </w:r>
    </w:p>
    <w:p>
      <w:pPr>
        <w:pStyle w:val="ListParagraph"/>
        <w:numPr>
          <w:ilvl w:val="0"/>
          <w:numId w:val="2"/>
        </w:numPr>
        <w:spacing w:after="120"/>
      </w:pPr>
      <w:r>
        <w:t xml:space="preserve">Milling and distribution hub at the Chattooga and Chickamauga Railway connection at $8 million to $15 million.</w:t>
      </w:r>
    </w:p>
    <w:p>
      <w:pPr>
        <w:pStyle w:val="ListParagraph"/>
        <w:numPr>
          <w:ilvl w:val="0"/>
          <w:numId w:val="2"/>
        </w:numPr>
        <w:spacing w:after="120"/>
      </w:pPr>
      <w:r>
        <w:t xml:space="preserve">USDA processing facility (cattle and pork primary) at $25 million to $50 million. Pilgrim's relationship for poultry rather than internal poultry processing.</w:t>
      </w:r>
    </w:p>
    <w:p>
      <w:pPr>
        <w:pStyle w:val="ListParagraph"/>
        <w:numPr>
          <w:ilvl w:val="0"/>
          <w:numId w:val="2"/>
        </w:numPr>
        <w:spacing w:after="120"/>
      </w:pPr>
      <w:r>
        <w:t xml:space="preserve">Preservation cluster (canning, freezing, dehydration) at $30 million to $80 million phased deployment.</w:t>
      </w:r>
    </w:p>
    <w:p>
      <w:pPr>
        <w:pStyle w:val="ListParagraph"/>
        <w:numPr>
          <w:ilvl w:val="0"/>
          <w:numId w:val="2"/>
        </w:numPr>
        <w:spacing w:after="120"/>
      </w:pPr>
      <w:r>
        <w:t xml:space="preserve">Rolling stock with on-car production capability at $5 million to $15 million.</w:t>
      </w:r>
    </w:p>
    <w:p>
      <w:pPr>
        <w:pStyle w:val="ListParagraph"/>
        <w:numPr>
          <w:ilvl w:val="0"/>
          <w:numId w:val="2"/>
        </w:numPr>
        <w:spacing w:after="120"/>
      </w:pPr>
      <w:r>
        <w:t xml:space="preserve">Brewery at Phase 2 production scale (~1,500 barrels per year) at $1 million to $3 million for CO2 capture and beverage program supply.</w:t>
      </w:r>
    </w:p>
    <w:p>
      <w:pPr>
        <w:pStyle w:val="ListParagraph"/>
        <w:numPr>
          <w:ilvl w:val="0"/>
          <w:numId w:val="2"/>
        </w:numPr>
        <w:spacing w:after="120"/>
      </w:pPr>
      <w:r>
        <w:t xml:space="preserve">Initial barn depot deployment (5 barns) with integrated healthcare infrastructure at approximately $50 million to $100 million.</w:t>
      </w:r>
    </w:p>
    <w:p>
      <w:pPr>
        <w:pStyle w:val="ListParagraph"/>
        <w:numPr>
          <w:ilvl w:val="0"/>
          <w:numId w:val="2"/>
        </w:numPr>
        <w:spacing w:after="120"/>
      </w:pPr>
      <w:r>
        <w:t xml:space="preserve">Construction material verticals (timber, stone, concrete, copper) capital deployment at approximately $50 million to $130 million.</w:t>
      </w:r>
    </w:p>
    <w:p>
      <w:pPr>
        <w:pStyle w:val="ListParagraph"/>
        <w:numPr>
          <w:ilvl w:val="0"/>
          <w:numId w:val="2"/>
        </w:numPr>
        <w:spacing w:after="120"/>
      </w:pPr>
      <w:r>
        <w:t xml:space="preserve">Initial professional recruitment housing (50 to 100 houses) at approximately $25 million to $70 million.</w:t>
      </w:r>
    </w:p>
    <w:p>
      <w:pPr>
        <w:pStyle w:val="ListParagraph"/>
        <w:numPr>
          <w:ilvl w:val="0"/>
          <w:numId w:val="2"/>
        </w:numPr>
        <w:spacing w:after="120"/>
      </w:pPr>
      <w:r>
        <w:t xml:space="preserve">Initial worker housing and producer cooperative member tenant housing at approximately $100 million to $250 million.</w:t>
      </w:r>
    </w:p>
    <w:p>
      <w:pPr>
        <w:pStyle w:val="ListParagraph"/>
        <w:numPr>
          <w:ilvl w:val="0"/>
          <w:numId w:val="2"/>
        </w:numPr>
        <w:spacing w:after="120"/>
      </w:pPr>
      <w:r>
        <w:t xml:space="preserve">Producer cooperative member program working capital and reserves for 50 to 200 mid and large family farm transitions at approximately $40 million to $120 million in capital exposure.</w:t>
      </w:r>
    </w:p>
    <w:p>
      <w:pPr>
        <w:spacing w:after="160"/>
      </w:pPr>
      <w:r>
        <w:t xml:space="preserve">Phase 1 timeframe is approximately 5 to 10 years for substantial establishment. Capital deployment happens incrementally across the timeframe rather than all at once. Operating cash flow from established operations contributes to capital generation as the phase matures.</w:t>
      </w:r>
    </w:p>
    <w:p>
      <w:pPr>
        <w:pStyle w:val="Heading2"/>
      </w:pPr>
      <w:r>
        <w:t xml:space="preserve">Phase 2: Adjacent regional expansion</w:t>
      </w:r>
    </w:p>
    <w:p>
      <w:pPr>
        <w:spacing w:after="160"/>
      </w:pPr>
      <w:r>
        <w:t xml:space="preserve">Phase 2 extends the architecture into adjacent regions with adjacent verticals. Capital deployment is approximately $200 million to $500 million additional. Timeframe is approximately years 5 through 15 of architectural development.</w:t>
      </w:r>
    </w:p>
    <w:p>
      <w:pPr>
        <w:spacing w:after="160"/>
      </w:pPr>
      <w:r>
        <w:t xml:space="preserve">Phase 2 elements:</w:t>
      </w:r>
    </w:p>
    <w:p>
      <w:pPr>
        <w:pStyle w:val="ListParagraph"/>
        <w:numPr>
          <w:ilvl w:val="0"/>
          <w:numId w:val="2"/>
        </w:numPr>
        <w:spacing w:after="120"/>
      </w:pPr>
      <w:r>
        <w:t xml:space="preserve">Pickens County marble vertical acquisition or partnership at approximately $80 million to $300 million depending on acquisition path.</w:t>
      </w:r>
    </w:p>
    <w:p>
      <w:pPr>
        <w:pStyle w:val="ListParagraph"/>
        <w:numPr>
          <w:ilvl w:val="0"/>
          <w:numId w:val="2"/>
        </w:numPr>
        <w:spacing w:after="120"/>
      </w:pPr>
      <w:r>
        <w:t xml:space="preserve">Sand Mountain Alabama and Tennessee expansion of cooperative food operations and broader infrastructure.</w:t>
      </w:r>
    </w:p>
    <w:p>
      <w:pPr>
        <w:pStyle w:val="ListParagraph"/>
        <w:numPr>
          <w:ilvl w:val="0"/>
          <w:numId w:val="2"/>
        </w:numPr>
        <w:spacing w:after="120"/>
      </w:pPr>
      <w:r>
        <w:t xml:space="preserve">Southeast Tennessee expansion including potential dairy expansion and Ducktown copper vertical engagement.</w:t>
      </w:r>
    </w:p>
    <w:p>
      <w:pPr>
        <w:pStyle w:val="ListParagraph"/>
        <w:numPr>
          <w:ilvl w:val="0"/>
          <w:numId w:val="2"/>
        </w:numPr>
        <w:spacing w:after="120"/>
      </w:pPr>
      <w:r>
        <w:t xml:space="preserve">Western North Carolina and northeast Georgia expansion.</w:t>
      </w:r>
    </w:p>
    <w:p>
      <w:pPr>
        <w:pStyle w:val="ListParagraph"/>
        <w:numPr>
          <w:ilvl w:val="0"/>
          <w:numId w:val="2"/>
        </w:numPr>
        <w:spacing w:after="120"/>
      </w:pPr>
      <w:r>
        <w:t xml:space="preserve">Healthcare infrastructure expansion across the broader regional footprint.</w:t>
      </w:r>
    </w:p>
    <w:p>
      <w:pPr>
        <w:pStyle w:val="ListParagraph"/>
        <w:numPr>
          <w:ilvl w:val="0"/>
          <w:numId w:val="2"/>
        </w:numPr>
        <w:spacing w:after="120"/>
      </w:pPr>
      <w:r>
        <w:t xml:space="preserve">Producer cooperative member program expansion to 500 to 1,000 farms across the broader regional service area.</w:t>
      </w:r>
    </w:p>
    <w:p>
      <w:pPr>
        <w:pStyle w:val="Heading2"/>
      </w:pPr>
      <w:r>
        <w:t xml:space="preserve">Phase 3 and beyond: Broader Appalachian deployment</w:t>
      </w:r>
    </w:p>
    <w:p>
      <w:pPr>
        <w:spacing w:after="160"/>
      </w:pPr>
      <w:r>
        <w:t xml:space="preserve">Phase 3 and beyond extends the architecture across the broader Appalachian region as opportunities present and as capital becomes available. Each phase carries its specific verticals and capital requirements based on the regions and verticals the architecture engages with.</w:t>
      </w:r>
    </w:p>
    <w:p>
      <w:pPr>
        <w:spacing w:after="160"/>
      </w:pPr>
      <w:r>
        <w:t xml:space="preserve">Specific potential expansions include:</w:t>
      </w:r>
    </w:p>
    <w:p>
      <w:pPr>
        <w:pStyle w:val="ListParagraph"/>
        <w:numPr>
          <w:ilvl w:val="0"/>
          <w:numId w:val="2"/>
        </w:numPr>
        <w:spacing w:after="120"/>
      </w:pPr>
      <w:r>
        <w:t xml:space="preserve">Northeast expansion through southeast Tennessee, western North Carolina, Virginia, and into West Virginia. Verticals reflecting regional industrial heritage including gold mining in the southeastern gold belt, copper expansion in the Ducktown adjacent operations, natural gas in the Marcellus and Utica formations, and steel in Pittsburgh and western Pennsylvania.</w:t>
      </w:r>
    </w:p>
    <w:p>
      <w:pPr>
        <w:pStyle w:val="ListParagraph"/>
        <w:numPr>
          <w:ilvl w:val="0"/>
          <w:numId w:val="2"/>
        </w:numPr>
        <w:spacing w:after="120"/>
      </w:pPr>
      <w:r>
        <w:t xml:space="preserve">Non-contiguous cells in regions with specific industrial heritage. Cheese and dairy in Wisconsin or Vermont. Furniture and textiles in the Carolinas. Other specific opportunities as they present.</w:t>
      </w:r>
    </w:p>
    <w:p>
      <w:pPr>
        <w:pStyle w:val="ListParagraph"/>
        <w:numPr>
          <w:ilvl w:val="0"/>
          <w:numId w:val="2"/>
        </w:numPr>
        <w:spacing w:after="120"/>
      </w:pPr>
      <w:r>
        <w:t xml:space="preserve">International cells operating as covenant trade partners through the architecture's ship and broader transportation infrastructure.</w:t>
      </w:r>
    </w:p>
    <w:p>
      <w:pPr>
        <w:spacing w:after="160"/>
      </w:pPr>
      <w:r>
        <w:t xml:space="preserve">Total capital deployment across the multi-decade horizon is approximately $5 billion to $20 billion depending on the specific verticals and scales the architecture engages with. Capital deployment matches operational capacity development across decades.</w:t>
      </w:r>
    </w:p>
    <w:p>
      <w:pPr>
        <w:pStyle w:val="Heading2"/>
      </w:pPr>
      <w:r>
        <w:t xml:space="preserve">Capital sourcing alignment</w:t>
      </w:r>
    </w:p>
    <w:p>
      <w:pPr>
        <w:spacing w:after="160"/>
      </w:pPr>
      <w:r>
        <w:t xml:space="preserve">Capital sources align with the architecture's multi-decade deployment timeline:</w:t>
      </w:r>
    </w:p>
    <w:p>
      <w:pPr>
        <w:pStyle w:val="ListParagraph"/>
        <w:numPr>
          <w:ilvl w:val="0"/>
          <w:numId w:val="2"/>
        </w:numPr>
        <w:spacing w:after="120"/>
      </w:pPr>
      <w:r>
        <w:t xml:space="preserve">Patient capital partners commit across multi-decade horizons matching architectural deployment patterns. Below-market returns reflect mission alignment.</w:t>
      </w:r>
    </w:p>
    <w:p>
      <w:pPr>
        <w:pStyle w:val="ListParagraph"/>
        <w:numPr>
          <w:ilvl w:val="0"/>
          <w:numId w:val="2"/>
        </w:numPr>
        <w:spacing w:after="120"/>
      </w:pPr>
      <w:r>
        <w:t xml:space="preserve">Affordable housing and community development financing mechanisms (LIHTC, USDA Rural Development, NMTC, Opportunity Zone investments, CDFI financing) supplement patient capital for qualifying operations.</w:t>
      </w:r>
    </w:p>
    <w:p>
      <w:pPr>
        <w:pStyle w:val="ListParagraph"/>
        <w:numPr>
          <w:ilvl w:val="0"/>
          <w:numId w:val="2"/>
        </w:numPr>
        <w:spacing w:after="120"/>
      </w:pPr>
      <w:r>
        <w:t xml:space="preserve">Tax-exempt bond financing through JDA conduit and other regional issuers supports qualifying infrastructure.</w:t>
      </w:r>
    </w:p>
    <w:p>
      <w:pPr>
        <w:pStyle w:val="ListParagraph"/>
        <w:numPr>
          <w:ilvl w:val="0"/>
          <w:numId w:val="2"/>
        </w:numPr>
        <w:spacing w:after="120"/>
      </w:pPr>
      <w:r>
        <w:t xml:space="preserve">Operating cash flow from established operations contributes increasing internal capital as deployments mature.</w:t>
      </w:r>
    </w:p>
    <w:p>
      <w:pPr>
        <w:pStyle w:val="ListParagraph"/>
        <w:numPr>
          <w:ilvl w:val="0"/>
          <w:numId w:val="2"/>
        </w:numPr>
        <w:spacing w:after="120"/>
      </w:pPr>
      <w:r>
        <w:t xml:space="preserve">Community investment token mechanism if deployed provides additional capital generation through small-denomination community participation.</w:t>
      </w:r>
    </w:p>
    <w:p>
      <w:pPr>
        <w:pStyle w:val="ListParagraph"/>
        <w:numPr>
          <w:ilvl w:val="0"/>
          <w:numId w:val="2"/>
        </w:numPr>
        <w:spacing w:after="120"/>
      </w:pPr>
      <w:r>
        <w:t xml:space="preserve">Reciprocal anchor equity arrangements with the four-platform mechanism partners (AssetCo, Stability OS, Barn Ecosystem, Provident Precision) where structural alignment supports the arrangement.</w:t>
      </w:r>
    </w:p>
    <w:p>
      <w:pPr>
        <w:spacing w:after="160"/>
      </w:pPr>
      <w:r>
        <w:t xml:space="preserve">Capital deployment matches operational capacity development. The architecture does not deploy capital faster than it can operate the deployments well. Each phase is justified by operational capacity, capital availability, specific opportunities, and the architecture's ability to integrate the new vertical or region.</w:t>
      </w:r>
    </w:p>
    <w:p>
      <w:pPr>
        <w:pStyle w:val="Heading1"/>
        <w:pageBreakBefore/>
      </w:pPr>
      <w:r>
        <w:t xml:space="preserve">Product Catalog and Operations</w:t>
      </w:r>
    </w:p>
    <w:p>
      <w:pPr>
        <w:spacing w:after="160"/>
      </w:pPr>
      <w:r>
        <w:t xml:space="preserve">The cooperative's product catalog reflects the architecture's commitment to producing food the regional community actually eats. Phase 1 catalog focuses on essential staples produced through cooperative operations supplemented by direct relationships and Atlanta wholesale where appropriate.</w:t>
      </w:r>
    </w:p>
    <w:p>
      <w:pPr>
        <w:pStyle w:val="Heading2"/>
      </w:pPr>
      <w:r>
        <w:t xml:space="preserve">Phase 1 catalog</w:t>
      </w:r>
    </w:p>
    <w:p>
      <w:pPr>
        <w:spacing w:after="160"/>
      </w:pPr>
      <w:r>
        <w:t xml:space="preserve">Grain at Phase 1 includes four primary products from cooperative milling operations:</w:t>
      </w:r>
    </w:p>
    <w:p>
      <w:pPr>
        <w:pStyle w:val="ListParagraph"/>
        <w:numPr>
          <w:ilvl w:val="0"/>
          <w:numId w:val="2"/>
        </w:numPr>
        <w:spacing w:after="120"/>
      </w:pPr>
      <w:r>
        <w:t xml:space="preserve">All-purpose flour from cooperative-milled wheat.</w:t>
      </w:r>
    </w:p>
    <w:p>
      <w:pPr>
        <w:pStyle w:val="ListParagraph"/>
        <w:numPr>
          <w:ilvl w:val="0"/>
          <w:numId w:val="2"/>
        </w:numPr>
        <w:spacing w:after="120"/>
      </w:pPr>
      <w:r>
        <w:t xml:space="preserve">Cornmeal and grits from cooperative-milled corn.</w:t>
      </w:r>
    </w:p>
    <w:p>
      <w:pPr>
        <w:pStyle w:val="ListParagraph"/>
        <w:numPr>
          <w:ilvl w:val="0"/>
          <w:numId w:val="2"/>
        </w:numPr>
        <w:spacing w:after="120"/>
      </w:pPr>
      <w:r>
        <w:t xml:space="preserve">Rolled oats from cooperative oat operations.</w:t>
      </w:r>
    </w:p>
    <w:p>
      <w:pPr>
        <w:pStyle w:val="ListParagraph"/>
        <w:numPr>
          <w:ilvl w:val="0"/>
          <w:numId w:val="2"/>
        </w:numPr>
        <w:spacing w:after="120"/>
      </w:pPr>
      <w:r>
        <w:t xml:space="preserve">Long-grain rice from regional supply relationships and cooperative member operations where appropriate.</w:t>
      </w:r>
    </w:p>
    <w:p>
      <w:pPr>
        <w:spacing w:after="160"/>
      </w:pPr>
      <w:r>
        <w:t xml:space="preserve">Protein at Phase 1 includes:</w:t>
      </w:r>
    </w:p>
    <w:p>
      <w:pPr>
        <w:pStyle w:val="ListParagraph"/>
        <w:numPr>
          <w:ilvl w:val="0"/>
          <w:numId w:val="2"/>
        </w:numPr>
        <w:spacing w:after="120"/>
      </w:pPr>
      <w:r>
        <w:t xml:space="preserve">Beef primals from cooperative processing facility producing cuts that the demand network absorbs.</w:t>
      </w:r>
    </w:p>
    <w:p>
      <w:pPr>
        <w:pStyle w:val="ListParagraph"/>
        <w:numPr>
          <w:ilvl w:val="0"/>
          <w:numId w:val="2"/>
        </w:numPr>
        <w:spacing w:after="120"/>
      </w:pPr>
      <w:r>
        <w:t xml:space="preserve">Pork primals from cooperative processing facility.</w:t>
      </w:r>
    </w:p>
    <w:p>
      <w:pPr>
        <w:pStyle w:val="ListParagraph"/>
        <w:numPr>
          <w:ilvl w:val="0"/>
          <w:numId w:val="2"/>
        </w:numPr>
        <w:spacing w:after="120"/>
      </w:pPr>
      <w:r>
        <w:t xml:space="preserve">Whole chicken from Pilgrim's direct relationship rather than internal poultry processing.</w:t>
      </w:r>
    </w:p>
    <w:p>
      <w:pPr>
        <w:pStyle w:val="ListParagraph"/>
        <w:numPr>
          <w:ilvl w:val="0"/>
          <w:numId w:val="2"/>
        </w:numPr>
        <w:spacing w:after="120"/>
      </w:pPr>
      <w:r>
        <w:t xml:space="preserve">Eggs from cooperative member layer flock operations and from broader regional supply.</w:t>
      </w:r>
    </w:p>
    <w:p>
      <w:pPr>
        <w:spacing w:after="160"/>
      </w:pPr>
      <w:r>
        <w:t xml:space="preserve">Pantry staples at Phase 1 include:</w:t>
      </w:r>
    </w:p>
    <w:p>
      <w:pPr>
        <w:pStyle w:val="ListParagraph"/>
        <w:numPr>
          <w:ilvl w:val="0"/>
          <w:numId w:val="2"/>
        </w:numPr>
        <w:spacing w:after="120"/>
      </w:pPr>
      <w:r>
        <w:t xml:space="preserve">Coffee from regional roasters or direct sourcing.</w:t>
      </w:r>
    </w:p>
    <w:p>
      <w:pPr>
        <w:pStyle w:val="ListParagraph"/>
        <w:numPr>
          <w:ilvl w:val="0"/>
          <w:numId w:val="2"/>
        </w:numPr>
        <w:spacing w:after="120"/>
      </w:pPr>
      <w:r>
        <w:t xml:space="preserve">Spices through Atlanta wholesale relationships.</w:t>
      </w:r>
    </w:p>
    <w:p>
      <w:pPr>
        <w:pStyle w:val="ListParagraph"/>
        <w:numPr>
          <w:ilvl w:val="0"/>
          <w:numId w:val="2"/>
        </w:numPr>
        <w:spacing w:after="120"/>
      </w:pPr>
      <w:r>
        <w:t xml:space="preserve">Honey from regional apiaries and cooperative member operations.</w:t>
      </w:r>
    </w:p>
    <w:p>
      <w:pPr>
        <w:pStyle w:val="ListParagraph"/>
        <w:numPr>
          <w:ilvl w:val="0"/>
          <w:numId w:val="2"/>
        </w:numPr>
        <w:spacing w:after="120"/>
      </w:pPr>
      <w:r>
        <w:t xml:space="preserve">Salt through standard supply.</w:t>
      </w:r>
    </w:p>
    <w:p>
      <w:pPr>
        <w:spacing w:after="160"/>
      </w:pPr>
      <w:r>
        <w:t xml:space="preserve">Hispanic and Asian supplemental supply through Atlanta wholesale relationships supports the regional service area's diverse population without requiring the cooperative to produce these products internally.</w:t>
      </w:r>
    </w:p>
    <w:p>
      <w:pPr>
        <w:spacing w:after="160"/>
      </w:pPr>
      <w:r>
        <w:t xml:space="preserve">Seasonal produce from cooperative members and from regional producers fills the produce supply across the year. Vegetables in season. Fruit in season. Specialty items as available.</w:t>
      </w:r>
    </w:p>
    <w:p>
      <w:pPr>
        <w:pStyle w:val="Heading2"/>
      </w:pPr>
      <w:r>
        <w:t xml:space="preserve">Beverage program</w:t>
      </w:r>
    </w:p>
    <w:p>
      <w:pPr>
        <w:spacing w:after="160"/>
      </w:pPr>
      <w:r>
        <w:t xml:space="preserve">The beverage program operates four bottled lines with cans as primary packaging plus draft program at the barn cafeteria operations. No outside sodas. The beverage program captures consumer beverage spending that would otherwise flow to corporate beverage producers.</w:t>
      </w:r>
    </w:p>
    <w:p>
      <w:pPr>
        <w:pStyle w:val="ListParagraph"/>
        <w:numPr>
          <w:ilvl w:val="0"/>
          <w:numId w:val="2"/>
        </w:numPr>
        <w:spacing w:after="120"/>
      </w:pPr>
      <w:r>
        <w:t xml:space="preserve">Cooperative soda lineup including cola, root beer, ginger ale, lemon-lime, cream, orange, cherry, grape, and seasonal variants.</w:t>
      </w:r>
    </w:p>
    <w:p>
      <w:pPr>
        <w:pStyle w:val="ListParagraph"/>
        <w:numPr>
          <w:ilvl w:val="0"/>
          <w:numId w:val="2"/>
        </w:numPr>
        <w:spacing w:after="120"/>
      </w:pPr>
      <w:r>
        <w:t xml:space="preserve">Cooperative beer through brewery operations at approximately 1,500 barrels per year. 3 to 5 core styles plus seasonal variants.</w:t>
      </w:r>
    </w:p>
    <w:p>
      <w:pPr>
        <w:pStyle w:val="ListParagraph"/>
        <w:numPr>
          <w:ilvl w:val="0"/>
          <w:numId w:val="2"/>
        </w:numPr>
        <w:spacing w:after="120"/>
      </w:pPr>
      <w:r>
        <w:t xml:space="preserve">Milk through regional dairy partnership.</w:t>
      </w:r>
    </w:p>
    <w:p>
      <w:pPr>
        <w:pStyle w:val="ListParagraph"/>
        <w:numPr>
          <w:ilvl w:val="0"/>
          <w:numId w:val="2"/>
        </w:numPr>
        <w:spacing w:after="120"/>
      </w:pPr>
      <w:r>
        <w:t xml:space="preserve">Apple juice through regional orchards.</w:t>
      </w:r>
    </w:p>
    <w:p>
      <w:pPr>
        <w:spacing w:after="160"/>
      </w:pPr>
      <w:r>
        <w:t xml:space="preserve">Draft program at barn cafeteria operations includes sweet tea, unsweetened tea, lemonade, coffee, water. CO2 from Phase 2 brewery fermentation capture supports the soda production. Closed loop integration: brewery spent grain becomes producer member animal feed, apple pomace becomes animal feed.</w:t>
      </w:r>
    </w:p>
    <w:p>
      <w:pPr>
        <w:pStyle w:val="Heading2"/>
      </w:pPr>
      <w:r>
        <w:t xml:space="preserve">Cafeteria menu</w:t>
      </w:r>
    </w:p>
    <w:p>
      <w:pPr>
        <w:spacing w:after="160"/>
      </w:pPr>
      <w:r>
        <w:t xml:space="preserve">The barn cafeteria operates a meat-and-three plus deli plus diner format with regional southern food. Target retail price point of $10. Cost stack of approximately $4.50 to $5.50 food, $2.50 to $3.50 labor, $1.00 to $1.50 occupancy, $0.50 to $1.50 margin.</w:t>
      </w:r>
    </w:p>
    <w:p>
      <w:pPr>
        <w:spacing w:after="160"/>
      </w:pPr>
      <w:r>
        <w:t xml:space="preserve">Menu structure:</w:t>
      </w:r>
    </w:p>
    <w:p>
      <w:pPr>
        <w:pStyle w:val="ListParagraph"/>
        <w:numPr>
          <w:ilvl w:val="0"/>
          <w:numId w:val="2"/>
        </w:numPr>
        <w:spacing w:after="120"/>
      </w:pPr>
      <w:r>
        <w:t xml:space="preserve">Mains include fried chicken, meatloaf, chicken-fried steak, chicken and dressing, pulled pork, pot roast, salisbury steak, fried catfish on Friday, salmon patties, chicken and dumplings, chicken casserole, brunswick stew.</w:t>
      </w:r>
    </w:p>
    <w:p>
      <w:pPr>
        <w:pStyle w:val="ListParagraph"/>
        <w:numPr>
          <w:ilvl w:val="0"/>
          <w:numId w:val="2"/>
        </w:numPr>
        <w:spacing w:after="120"/>
      </w:pPr>
      <w:r>
        <w:t xml:space="preserve">Bases include grits, mashed potatoes, rice, mac and cheese (upcharge).</w:t>
      </w:r>
    </w:p>
    <w:p>
      <w:pPr>
        <w:pStyle w:val="ListParagraph"/>
        <w:numPr>
          <w:ilvl w:val="0"/>
          <w:numId w:val="2"/>
        </w:numPr>
        <w:spacing w:after="120"/>
      </w:pPr>
      <w:r>
        <w:t xml:space="preserve">Sides include collards, pinto beans, green beans, butter beans, black-eyed peas, fried okra.</w:t>
      </w:r>
    </w:p>
    <w:p>
      <w:pPr>
        <w:pStyle w:val="ListParagraph"/>
        <w:numPr>
          <w:ilvl w:val="0"/>
          <w:numId w:val="2"/>
        </w:numPr>
        <w:spacing w:after="120"/>
      </w:pPr>
      <w:r>
        <w:t xml:space="preserve">Sandwiches include pimento cheese, chicken salad, BLT, grilled cheese.</w:t>
      </w:r>
    </w:p>
    <w:p>
      <w:pPr>
        <w:pStyle w:val="ListParagraph"/>
        <w:numPr>
          <w:ilvl w:val="0"/>
          <w:numId w:val="2"/>
        </w:numPr>
        <w:spacing w:after="120"/>
      </w:pPr>
      <w:r>
        <w:t xml:space="preserve">Burger and fries with upcharge ladder for additional toppings.</w:t>
      </w:r>
    </w:p>
    <w:p>
      <w:pPr>
        <w:pStyle w:val="ListParagraph"/>
        <w:numPr>
          <w:ilvl w:val="0"/>
          <w:numId w:val="2"/>
        </w:numPr>
        <w:spacing w:after="120"/>
      </w:pPr>
      <w:r>
        <w:t xml:space="preserve">Soup of the day from byproducts.</w:t>
      </w:r>
    </w:p>
    <w:p>
      <w:pPr>
        <w:pStyle w:val="ListParagraph"/>
        <w:numPr>
          <w:ilvl w:val="0"/>
          <w:numId w:val="2"/>
        </w:numPr>
        <w:spacing w:after="120"/>
      </w:pPr>
      <w:r>
        <w:t xml:space="preserve">Cornbread, yeast rolls, biscuits from cooperative-milled flour, lard from cooperative pork.</w:t>
      </w:r>
    </w:p>
    <w:p>
      <w:pPr>
        <w:spacing w:after="160"/>
      </w:pPr>
      <w:r>
        <w:t xml:space="preserve">The cafeteria serves cooperative workers as the primary customer base. Workers eat well. The food is the cooperative's own food at the cooperative's cost basis. Workers eat regional southern food, fresh produce from the farms, meat from the cooperative processing facility, bread from cooperative-milled flour, all at price points that working wages afford easily.</w:t>
      </w:r>
    </w:p>
    <w:p>
      <w:pPr>
        <w:pStyle w:val="Heading1"/>
        <w:pageBreakBefore/>
      </w:pPr>
      <w:r>
        <w:t xml:space="preserve">Four Platform Mechanism</w:t>
      </w:r>
    </w:p>
    <w:p>
      <w:pPr>
        <w:spacing w:after="160"/>
      </w:pPr>
      <w:r>
        <w:t xml:space="preserve">The cooperative operates as one of four peer platforms in a coordinated mechanism that addresses regional industrial development across multiple dimensions. The four platforms operate with reciprocal anchor equity arrangements that support coordinated deployment without requiring single-entity operation.</w:t>
      </w:r>
    </w:p>
    <w:p>
      <w:pPr>
        <w:pStyle w:val="Heading2"/>
      </w:pPr>
      <w:r>
        <w:t xml:space="preserve">AssetCo</w:t>
      </w:r>
    </w:p>
    <w:p>
      <w:pPr>
        <w:spacing w:after="160"/>
      </w:pPr>
      <w:r>
        <w:t xml:space="preserve">AssetCo holds ground across cars, housing, commercial space, and farmland. Approximately 6,500 cars, 2,200 doors, 1.5 million square feet commercial, and 10,000 acres farmland in mature deployment. Total assets approximately $903 million with free cash flow of $50 million plus per year by year 10.</w:t>
      </w:r>
    </w:p>
    <w:p>
      <w:pPr>
        <w:spacing w:after="160"/>
      </w:pPr>
      <w:r>
        <w:t xml:space="preserve">AssetCo functions as the long-term real estate holding entity for the broader architecture. The cooperative's facility ground, the architecture's housing portfolio, the commercial real estate supporting cooperative operations, and the farmland supporting producer cooperative member operations sit inside AssetCo or coordinate with AssetCo through specific arrangements.</w:t>
      </w:r>
    </w:p>
    <w:p>
      <w:pPr>
        <w:pStyle w:val="Heading2"/>
      </w:pPr>
      <w:r>
        <w:t xml:space="preserve">Stability OS</w:t>
      </w:r>
    </w:p>
    <w:p>
      <w:pPr>
        <w:spacing w:after="160"/>
      </w:pPr>
      <w:r>
        <w:t xml:space="preserve">Stability OS addresses household demand stability through specific household financial tools and coordination mechanisms. Approximately 1,250 cars, 550 doors, $9.25 million EBITDA in year 5 of mature deployment.</w:t>
      </w:r>
    </w:p>
    <w:p>
      <w:pPr>
        <w:spacing w:after="160"/>
      </w:pPr>
      <w:r>
        <w:t xml:space="preserve">Stability OS interfaces with the cooperative's household demand layer where churches in the mission framework do not provide the household aggregation function. Where churches do provide household aggregation, Stability OS may operate at smaller scale or operate complementary functions that support household financial stability beyond church-based aggregation.</w:t>
      </w:r>
    </w:p>
    <w:p>
      <w:pPr>
        <w:pStyle w:val="Heading2"/>
      </w:pPr>
      <w:r>
        <w:t xml:space="preserve">Barn Ecosystem</w:t>
      </w:r>
    </w:p>
    <w:p>
      <w:pPr>
        <w:spacing w:after="160"/>
      </w:pPr>
      <w:r>
        <w:t xml:space="preserve">Barn Ecosystem operates the community hub functions that serve as cooperative depots. 5 barns with $18.7 million in sales and $1.3 million EBITDA in year 5 of initial deployment. The Barn Ecosystem platform integrates with the cooperative's barn depot deployment, providing the operational capability that the cooperative draws on for the community infrastructure functions.</w:t>
      </w:r>
    </w:p>
    <w:p>
      <w:pPr>
        <w:pStyle w:val="Heading2"/>
      </w:pPr>
      <w:r>
        <w:t xml:space="preserve">Provident Precision</w:t>
      </w:r>
    </w:p>
    <w:p>
      <w:pPr>
        <w:spacing w:after="160"/>
      </w:pPr>
      <w:r>
        <w:t xml:space="preserve">Provident Precision provides producer tools through a coordinated tools and equipment platform. Specific tools include Mole, FarmWell, GroundLink, Digger, and Badger. The tools support producer cooperative member operations across the architecture's footprint.</w:t>
      </w:r>
    </w:p>
    <w:p>
      <w:pPr>
        <w:pStyle w:val="Heading2"/>
      </w:pPr>
      <w:r>
        <w:t xml:space="preserve">Reciprocal anchor equity</w:t>
      </w:r>
    </w:p>
    <w:p>
      <w:pPr>
        <w:spacing w:after="160"/>
      </w:pPr>
      <w:r>
        <w:t xml:space="preserve">The four platforms hold reciprocal anchor equity in each other where structural alignment supports the arrangement. Each platform invests in the others. Each platform participates in the others' governance through equity positions. The reciprocal arrangement creates structural alignment without requiring single-entity operation.</w:t>
      </w:r>
    </w:p>
    <w:p>
      <w:pPr>
        <w:spacing w:after="160"/>
      </w:pPr>
      <w:r>
        <w:t xml:space="preserve">This is structurally significant. The four platforms can specialize in their respective functions while remaining structurally aligned. The cooperative does not need to absorb the AssetCo function, the Stability OS function, the Barn Ecosystem function, and the Provident Precision function into a single operational entity. Each platform operates with operational discipline appropriate to its function while contributing to the broader architectural integration through the reciprocal anchor equity.</w:t>
      </w:r>
    </w:p>
    <w:p>
      <w:pPr>
        <w:pStyle w:val="Heading1"/>
        <w:pageBreakBefore/>
      </w:pPr>
      <w:r>
        <w:t xml:space="preserve">Regional Context and Cultural Foundation</w:t>
      </w:r>
    </w:p>
    <w:p>
      <w:pPr>
        <w:spacing w:after="160"/>
      </w:pPr>
      <w:r>
        <w:t xml:space="preserve">The architecture operates inside a specific regional context with specific cultural and institutional foundations. The architecture is not imposed on the region. The architecture grows from the region's actual fabric. Several specific elements of the regional context shape the architecture's operations.</w:t>
      </w:r>
    </w:p>
    <w:p>
      <w:pPr>
        <w:pStyle w:val="Heading2"/>
      </w:pPr>
      <w:r>
        <w:t xml:space="preserve">The four county service area</w:t>
      </w:r>
    </w:p>
    <w:p>
      <w:pPr>
        <w:spacing w:after="160"/>
      </w:pPr>
      <w:r>
        <w:t xml:space="preserve">The Joint Development Authority service area covers four counties: Catoosa, Walker, Dade, and Chattooga. The counties sit at the northwest corner of Georgia, on the Tennessee border, in the southern Appalachian region. The geography includes Lookout Mountain, Sand Mountain, the Tennessee River corridor, and the broader ridge-and-valley topography that shapes the regional economy and culture.</w:t>
      </w:r>
    </w:p>
    <w:p>
      <w:pPr>
        <w:spacing w:after="160"/>
      </w:pPr>
      <w:r>
        <w:t xml:space="preserve">The regional industrial heritage includes agricultural production at substantial scale, textile manufacturing (Dalton, Georgia is a major regional textile center, Chattanooga has textile heritage), construction materials production (Sand Mountain quarrying, regional concrete and aggregate operations), food processing operations across the broader region, and the broader light industrial fabric that supports the regional economy.</w:t>
      </w:r>
    </w:p>
    <w:p>
      <w:pPr>
        <w:spacing w:after="160"/>
      </w:pPr>
      <w:r>
        <w:t xml:space="preserve">The regional church culture runs through Baptist congregations of multiple varieties (Southern Baptist, independent Baptist, Primitive Baptist), Methodist congregations, Presbyterian congregations, Pentecostal and Holiness congregations, non-denominational evangelical churches, smaller communities of Catholics and Orthodox, and the broader Christian church fabric that operates across denominational lines through shared confession and shared community life.</w:t>
      </w:r>
    </w:p>
    <w:p>
      <w:pPr>
        <w:spacing w:after="160"/>
      </w:pPr>
      <w:r>
        <w:t xml:space="preserve">The Cherokee historical territory extends across the regional service area. The Cherokee operated sophisticated governance, agricultural, and economic systems for over a thousand years before European contact. Cherokee tradition contributed clan structure, consensus governance, and the institutional patterns that the architecture's broader pattern draws on through specific structural elements.</w:t>
      </w:r>
    </w:p>
    <w:p>
      <w:pPr>
        <w:pStyle w:val="Heading2"/>
      </w:pPr>
      <w:r>
        <w:t xml:space="preserve">Cultural and institutional foundation</w:t>
      </w:r>
    </w:p>
    <w:p>
      <w:pPr>
        <w:spacing w:after="160"/>
      </w:pPr>
      <w:r>
        <w:t xml:space="preserve">The architecture's cultural and institutional foundation is captured in the Free State of Dade world document and in the Kings of Appalachia novel sequence. These works develop the architectural pattern through narrative form. The cooperative document is the operational layer of the same architecture the works enact narratively.</w:t>
      </w:r>
    </w:p>
    <w:p>
      <w:pPr>
        <w:spacing w:after="160"/>
      </w:pPr>
      <w:r>
        <w:t xml:space="preserve">Specific elements of the cultural and institutional foundation that the architecture draws on:</w:t>
      </w:r>
    </w:p>
    <w:p>
      <w:pPr>
        <w:pStyle w:val="ListParagraph"/>
        <w:numPr>
          <w:ilvl w:val="0"/>
          <w:numId w:val="2"/>
        </w:numPr>
        <w:spacing w:after="120"/>
      </w:pPr>
      <w:r>
        <w:t xml:space="preserve">The Cherokee clan principle. Each community is a clan. Each clan governs itself. Clans coordinate through council mechanisms. To outside actors the clans present one pot. Internal economy among clans operates through trade between covenant operations.</w:t>
      </w:r>
    </w:p>
    <w:p>
      <w:pPr>
        <w:pStyle w:val="ListParagraph"/>
        <w:numPr>
          <w:ilvl w:val="0"/>
          <w:numId w:val="2"/>
        </w:numPr>
        <w:spacing w:after="120"/>
      </w:pPr>
      <w:r>
        <w:t xml:space="preserve">The covenant equity discipline. Roll members carry covenant equity that builds across years and generations. Covenant relationships preserve member equity through structured succession mechanisms.</w:t>
      </w:r>
    </w:p>
    <w:p>
      <w:pPr>
        <w:pStyle w:val="ListParagraph"/>
        <w:numPr>
          <w:ilvl w:val="0"/>
          <w:numId w:val="2"/>
        </w:numPr>
        <w:spacing w:after="120"/>
      </w:pPr>
      <w:r>
        <w:t xml:space="preserve">The marks ceremony principle. Voluntary covenant identity. Public accountability. The mark stays on the wrist as the record of covenant participation.</w:t>
      </w:r>
    </w:p>
    <w:p>
      <w:pPr>
        <w:pStyle w:val="ListParagraph"/>
        <w:numPr>
          <w:ilvl w:val="0"/>
          <w:numId w:val="2"/>
        </w:numPr>
        <w:spacing w:after="120"/>
      </w:pPr>
      <w:r>
        <w:t xml:space="preserve">The minimally extractive enforcement principle. The Puckett pattern from The Line. The community contracts around problematic behavior without violence. The door remembers but the door is not locked. Restoration paths remain open.</w:t>
      </w:r>
    </w:p>
    <w:p>
      <w:pPr>
        <w:pStyle w:val="ListParagraph"/>
        <w:numPr>
          <w:ilvl w:val="0"/>
          <w:numId w:val="2"/>
        </w:numPr>
        <w:spacing w:after="120"/>
      </w:pPr>
      <w:r>
        <w:t xml:space="preserve">The wildlife rule principle. Take from the surplus, not the seed. Strategic discipline that preserves the productive base across generations.</w:t>
      </w:r>
    </w:p>
    <w:p>
      <w:pPr>
        <w:pStyle w:val="ListParagraph"/>
        <w:numPr>
          <w:ilvl w:val="0"/>
          <w:numId w:val="2"/>
        </w:numPr>
        <w:spacing w:after="120"/>
      </w:pPr>
      <w:r>
        <w:t xml:space="preserve">The apprenticeship system principle. Knowledge that lives in only one place dies when that place dies. Distribute the knowledge. Make the network the archive.</w:t>
      </w:r>
    </w:p>
    <w:p>
      <w:pPr>
        <w:pStyle w:val="ListParagraph"/>
        <w:numPr>
          <w:ilvl w:val="0"/>
          <w:numId w:val="2"/>
        </w:numPr>
        <w:spacing w:after="120"/>
      </w:pPr>
      <w:r>
        <w:t xml:space="preserve">The cells and triangles principle. Flat organization with specialist functions distributed across people who carry domain authority.</w:t>
      </w:r>
    </w:p>
    <w:p>
      <w:pPr>
        <w:pStyle w:val="ListParagraph"/>
        <w:numPr>
          <w:ilvl w:val="0"/>
          <w:numId w:val="2"/>
        </w:numPr>
        <w:spacing w:after="120"/>
      </w:pPr>
      <w:r>
        <w:t xml:space="preserve">The architect serves rather than extracts principle. The architect builds the system and the system serves everyone inside it including the architect at the level of community member.</w:t>
      </w:r>
    </w:p>
    <w:p>
      <w:pPr>
        <w:spacing w:after="160"/>
      </w:pPr>
      <w:r>
        <w:t xml:space="preserve">These elements operate as world physics rather than as named doctrine. The architecture's structural integrity reflects them without naming them. Members and partners experience the architecture's operations rather than receiving doctrinal training in the underlying pattern. The architecture works because the pattern operates regardless of whether participants articulate the pattern explicitly.</w:t>
      </w:r>
    </w:p>
    <w:p>
      <w:pPr>
        <w:pStyle w:val="Heading2"/>
      </w:pPr>
      <w:r>
        <w:t xml:space="preserve">Faith foundation</w:t>
      </w:r>
    </w:p>
    <w:p>
      <w:pPr>
        <w:spacing w:after="160"/>
      </w:pPr>
      <w:r>
        <w:t xml:space="preserve">The architecture's faith foundation is load bearing across all operations. Christian theological commitments shape the structural integrity. Biblical agrarian tradition provides the operational pattern for the producer cooperative member relationships and the worker progression structure. Covenant theology shapes the equity discipline. The Christian church mission framework provides the relational structure that operates alongside the cooperative.</w:t>
      </w:r>
    </w:p>
    <w:p>
      <w:pPr>
        <w:spacing w:after="160"/>
      </w:pPr>
      <w:r>
        <w:t xml:space="preserve">The faith foundation operates as world physics rather than as institutional identity. The cooperative is not a religious organization. The cooperative does not preach. The cooperative operates with structural integrity that reflects the faith foundation in the same way grace operative without being announced as grace operative. The architecture stays underneath. The operations go on top.</w:t>
      </w:r>
    </w:p>
    <w:p>
      <w:pPr>
        <w:spacing w:after="160"/>
      </w:pPr>
      <w:r>
        <w:t xml:space="preserve">The faith foundation aligns the architecture with the demographic core of American agriculture. Christian farming communities recognize the structural integrity because the integrity reflects the theological tradition that runs through their lives. The architecture is not introducing a new economic model. The architecture is restoring an old economic model that biblical agrarian tradition has carried for millennia and that corporate agricultural operations have displaced over the past two generations.</w:t>
      </w:r>
    </w:p>
    <w:p>
      <w:pPr>
        <w:pStyle w:val="Heading1"/>
        <w:pageBreakBefore/>
      </w:pPr>
      <w:r>
        <w:t xml:space="preserve">Stewardship and Continuity</w:t>
      </w:r>
    </w:p>
    <w:p>
      <w:pPr>
        <w:spacing w:after="160"/>
      </w:pPr>
      <w:r>
        <w:t xml:space="preserve">The architecture is built to operate across multi-generational timeframes. The architecture's continuity does not depend on the founder. The architecture's continuity is distributed across the persons who carry the architectural pattern forward.</w:t>
      </w:r>
    </w:p>
    <w:p>
      <w:pPr>
        <w:pStyle w:val="Heading2"/>
      </w:pPr>
      <w:r>
        <w:t xml:space="preserve">The architect serves the system</w:t>
      </w:r>
    </w:p>
    <w:p>
      <w:pPr>
        <w:spacing w:after="160"/>
      </w:pPr>
      <w:r>
        <w:t xml:space="preserve">The architecture is structurally designed so that it does not directly benefit the founder beyond the founder's position as community member. The architect builds the system and the system serves everyone inside it including the architect at the level of community member rather than at the level of capital extractor.</w:t>
      </w:r>
    </w:p>
    <w:p>
      <w:pPr>
        <w:spacing w:after="160"/>
      </w:pPr>
      <w:r>
        <w:t xml:space="preserve">The founder's family receives a farm and a permanent board seat for architectural continuity. The economic position is producer cooperative member family. The governance position is one seat among many with specific stewardship responsibilities and specific structural limitations. The seat preserves architectural memory across generations without giving the family disproportionate authority.</w:t>
      </w:r>
    </w:p>
    <w:p>
      <w:pPr>
        <w:spacing w:after="160"/>
      </w:pPr>
      <w:r>
        <w:t xml:space="preserve">The founder's equity dilutes toward zero across decades as producer member equity accumulates. The dilution trajectory is structural. The architecture is not the founder's. The architecture is for the producer cooperative members, the workers, the professionals, the church partners, and the broader regional community.</w:t>
      </w:r>
    </w:p>
    <w:p>
      <w:pPr>
        <w:pStyle w:val="Heading2"/>
      </w:pPr>
      <w:r>
        <w:t xml:space="preserve">Distributed knowledge and authority</w:t>
      </w:r>
    </w:p>
    <w:p>
      <w:pPr>
        <w:spacing w:after="160"/>
      </w:pPr>
      <w:r>
        <w:t xml:space="preserve">The architecture's continuity rests on distributed knowledge and authority across multiple persons and institutions. Multiple board members understand and carry the architectural pattern. The producer cooperative members, workers, professionals, and church partners understand the architecture's commitments through their direct participation. The founding documents articulate the architecture's commitments clearly. The mission framework operates through churches that carry institutional identity across generations.</w:t>
      </w:r>
    </w:p>
    <w:p>
      <w:pPr>
        <w:spacing w:after="160"/>
      </w:pPr>
      <w:r>
        <w:t xml:space="preserve">The cross-training principle from The Line operates here. Knowledge that lives in only one place dies when that place dies. The architecture distributes knowledge across the network rather than concentrating it in any single person. Operational expertise lives in the operations. Governance expertise lives in the board. Architectural memory lives in the founding documents and in the family seat. Theological expertise lives in the church partners. Each element operates without depending on any single person.</w:t>
      </w:r>
    </w:p>
    <w:p>
      <w:pPr>
        <w:pStyle w:val="Heading2"/>
      </w:pPr>
      <w:r>
        <w:t xml:space="preserve">Multi-generational horizon</w:t>
      </w:r>
    </w:p>
    <w:p>
      <w:pPr>
        <w:spacing w:after="160"/>
      </w:pPr>
      <w:r>
        <w:t xml:space="preserve">The architecture's multi-generational horizon shapes operational decisions. Capital deployment matches multi-decade asset holding periods. Producer cooperative member equity builds across decades. Worker progression operates across years and decades. Construction targets 300 to 500 year structural service life. Land stewardship covenants run across generations.</w:t>
      </w:r>
    </w:p>
    <w:p>
      <w:pPr>
        <w:spacing w:after="160"/>
      </w:pPr>
      <w:r>
        <w:t xml:space="preserve">Decisions made today are evaluated by what they leave to the children and grandchildren of current participants rather than by what they generate this quarter. This is consistent with how Christian farming families think about their work. The farm is for the children. The land is for the grandchildren. The architecture operates the same way.</w:t>
      </w:r>
    </w:p>
    <w:p>
      <w:pPr>
        <w:pStyle w:val="Heading2"/>
      </w:pPr>
      <w:r>
        <w:t xml:space="preserve">Seasons discipline</w:t>
      </w:r>
    </w:p>
    <w:p>
      <w:pPr>
        <w:spacing w:after="160"/>
      </w:pPr>
      <w:r>
        <w:t xml:space="preserve">The architecture operates in deliberate seasons. Planning has its season. Execution has its season. Stewardship between reception and release has its season. Ecclesiastes 3:1 governs the timing across the architecture's development.</w:t>
      </w:r>
    </w:p>
    <w:p>
      <w:pPr>
        <w:spacing w:after="160"/>
      </w:pPr>
      <w:r>
        <w:t xml:space="preserve">The cooperative document captures the architecture at this moment in its development. The architecture continues to develop across subsequent seasons. The document is updated as conditions warrant revision. The discipline is to follow the plan until conditions warrant change, then revise without fear when revision is genuinely warranted.</w:t>
      </w:r>
    </w:p>
    <w:p>
      <w:pPr>
        <w:pStyle w:val="Heading1"/>
        <w:pageBreakBefore/>
      </w:pPr>
      <w:r>
        <w:t xml:space="preserve">Closing</w:t>
      </w:r>
    </w:p>
    <w:p>
      <w:pPr>
        <w:spacing w:after="160"/>
      </w:pPr>
      <w:r>
        <w:t xml:space="preserve">This document captures the architectural foundation of a regional industrial cooperative serving northwest Georgia and adjacent regions. The architecture is at a stable foundation that supports operational deployment beginning with the minimal first step (producer cooperative member program with insurance backstop and guaranteed buying through existing infrastructure under contract) and extending across multiple phases as operational capacity, capital availability, and specific opportunities support.</w:t>
      </w:r>
    </w:p>
    <w:p>
      <w:pPr>
        <w:spacing w:after="160"/>
      </w:pPr>
      <w:r>
        <w:t xml:space="preserve">The architecture rests on several integrated commitments. Cooperative as private legal entity carrying heavy capital infrastructure. Mission framework with participating churches as relational structure. Confessional standard at the foundational confession. Worker progression structure with housing ownership across four stages. Strategic concentration on mid and large family farms producing the majority of agricultural value. Package as draws against production with monthly stability, benefits, transition insurance, and primary customer commitment. Barn as complete community infrastructure node with food, retail, gathering, training, and healthcare. Generational construction with poured concrete, stone veneer, slate roofs, and copper. Four material verticals integrated through the build partnership. Each direction the architecture grows in carries its specific vertical responsibility. The architecture moves into regions with existing industrial heritage. The architecture has the capital, finds the next region, determines the vertical, and enters by bringing services and building housing. Contiguous expansion as primary backbone with non-contiguous cells as specialized engagements. Cells operate as covenant trade partners. Rail and sea as primary transportation infrastructure. Suppliers operating as architecture-incubated covenant suppliers with published demand, transparent pricing, and startup support. Cooperative as heavy capital spine with investment carrying built-in exits or dividends. Mission framework with participating churches operating their tax-exempt status legitimately. The architect serving the system rather than extracting from it.</w:t>
      </w:r>
    </w:p>
    <w:p>
      <w:pPr>
        <w:spacing w:after="160"/>
      </w:pPr>
      <w:r>
        <w:t xml:space="preserve">The work is the planning Bible. The plan to execute is the work.</w:t>
      </w:r>
    </w:p>
    <w:p>
      <w:pPr>
        <w:spacing w:before="480"/>
      </w:pPr>
      <w:r>
        <w:rPr>
          <w:sz w:val="24"/>
          <w:szCs w:val="24"/>
        </w:rPr>
        <w:t xml:space="preserve"/>
      </w:r>
    </w:p>
    <w:p>
      <w:pPr>
        <w:spacing w:after="480" w:before="480"/>
        <w:jc w:val="center"/>
      </w:pPr>
      <w:r>
        <w:rPr>
          <w:i/>
          <w:iCs/>
          <w:sz w:val="24"/>
          <w:szCs w:val="24"/>
        </w:rPr>
        <w:t xml:space="preserve">Glory to God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NWGA Regional Cooperative, Architectural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Georgia Regional Cooperative: Architectural Foundation</dc:title>
  <dc:creator>M.R. Harris</dc:creator>
  <cp:lastModifiedBy>Un-named</cp:lastModifiedBy>
  <cp:revision>1</cp:revision>
  <dcterms:created xsi:type="dcterms:W3CDTF">2026-04-26T13:34:17.544Z</dcterms:created>
  <dcterms:modified xsi:type="dcterms:W3CDTF">2026-04-26T13:34:17.545Z</dcterms:modified>
</cp:coreProperties>
</file>

<file path=docProps/custom.xml><?xml version="1.0" encoding="utf-8"?>
<Properties xmlns="http://schemas.openxmlformats.org/officeDocument/2006/custom-properties" xmlns:vt="http://schemas.openxmlformats.org/officeDocument/2006/docPropsVTypes"/>
</file>