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jc w:val="center"/>
      </w:pPr>
      <w:r>
        <w:drawing>
          <wp:inline distT="0" distB="0" distL="0" distR="0">
            <wp:extent cx="1619250" cy="1619250"/>
            <wp:effectExtent t="0" r="0" b="0" l="0"/>
            <wp:docPr id="1" name="LogoCapa" descr="Logo capa"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0" w:before="200"/>
      </w:pPr>
    </w:p>
    <w:p>
      <w:pPr>
        <w:shd w:fill="F26522" w:val="clear"/>
        <w:spacing w:after="0" w:before="0"/>
        <w:jc w:val="center"/>
      </w:pPr>
      <w:r>
        <w:rPr>
          <w:rFonts w:ascii="Arial" w:cs="Arial" w:eastAsia="Arial" w:hAnsi="Arial"/>
          <w:b/>
          <w:bCs/>
          <w:color w:val="FFFFFF"/>
          <w:sz w:val="36"/>
          <w:szCs w:val="36"/>
        </w:rPr>
        <w:t xml:space="preserve">ORÇAMENTO TÉCNICO E COMERCIAL</w:t>
      </w:r>
    </w:p>
    <w:p>
      <w:pPr>
        <w:shd w:fill="5B4FCF" w:val="clear"/>
        <w:spacing w:after="0" w:before="0"/>
        <w:jc w:val="center"/>
      </w:pPr>
      <w:r>
        <w:rPr>
          <w:rFonts w:ascii="Arial" w:cs="Arial" w:eastAsia="Arial" w:hAnsi="Arial"/>
          <w:b/>
          <w:bCs/>
          <w:color w:val="FFFFFF"/>
          <w:sz w:val="18"/>
          <w:szCs w:val="18"/>
        </w:rPr>
        <w:t xml:space="preserve">{subtitulo}</w:t>
      </w:r>
    </w:p>
    <w:p>
      <w:pPr>
        <w:shd w:fill="1A2F4A" w:val="clear"/>
        <w:spacing w:after="0" w:before="0"/>
        <w:jc w:val="center"/>
      </w:pPr>
      <w:r>
        <w:rPr>
          <w:rFonts w:ascii="Arial" w:cs="Arial" w:eastAsia="Arial" w:hAnsi="Arial"/>
          <w:b/>
          <w:bCs/>
          <w:color w:val="FEF0E7"/>
          <w:sz w:val="17"/>
          <w:szCs w:val="17"/>
        </w:rPr>
        <w:t xml:space="preserve">{clienteTitulo}</w:t>
      </w:r>
    </w:p>
    <w:p>
      <w:pPr>
        <w:spacing w:after="0" w:before="2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CLIENTE</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{clienteNome}</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ENDEREÇO</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{endereco}</w:t>
            </w:r>
          </w:p>
        </w:tc>
      </w:tr>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OBJETO</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{objeto}</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REFERÊNCIA GTA</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{referencia}</w:t>
            </w:r>
          </w:p>
        </w:tc>
      </w:tr>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DATA DE EMISSÃO</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{dataEmissao}</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VALIDADE</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{validade}</w:t>
            </w:r>
          </w:p>
        </w:tc>
      </w:tr>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FORMA DE PAGAMENTO</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{formaPagamento}</w:t>
            </w:r>
          </w:p>
        </w:tc>
      </w:tr>
    </w:tbl>
    <w:p>
      <w:pPr>
        <w:spacing w:after="0" w:before="280"/>
      </w:pPr>
    </w:p>
    <w:p>
      <w:pPr>
        <w:jc w:val="center"/>
      </w:pPr>
      <w:r>
        <w:rPr>
          <w:rFonts w:ascii="Arial" w:cs="Arial" w:eastAsia="Arial" w:hAnsi="Arial"/>
          <w:color w:val="888888"/>
          <w:sz w:val="17"/>
          <w:szCs w:val="17"/>
        </w:rPr>
        <w:t xml:space="preserve">GTA Energia Ltda  |  CNPJ: 59.214.861/0001-15  |  (62) 9 9457-1802</w:t>
      </w:r>
    </w:p>
    <w:p>
      <w:pPr>
        <w:spacing w:after="0" w:before="280"/>
      </w:pPr>
    </w:p>
    <w:p>
      <w:pPr>
        <w:shd w:fill="F26522" w:val="clear"/>
        <w:spacing w:after="0" w:before="0"/>
      </w:pPr>
      <w:r>
        <w:rPr>
          <w:rFonts w:ascii="Arial" w:cs="Arial" w:eastAsia="Arial" w:hAnsi="Arial"/>
          <w:b/>
          <w:bCs/>
          <w:color w:val="FFFFFF"/>
          <w:sz w:val="24"/>
          <w:szCs w:val="24"/>
        </w:rPr>
        <w:t xml:space="preserve">  1   OBJETO DO ORÇAMENTO</w:t>
      </w:r>
    </w:p>
    <w:p>
      <w:pPr>
        <w:shd w:fill="5B4FCF" w:val="clear"/>
        <w:spacing w:after="0" w:before="0"/>
      </w:pPr>
      <w:r>
        <w:rPr>
          <w:color w:val="5B4FCF"/>
          <w:sz w:val="4"/>
          <w:szCs w:val="4"/>
        </w:rPr>
        <w:t xml:space="preserve"> </w:t>
      </w:r>
    </w:p>
    <w:p>
      <w:pPr>
        <w:spacing w:after="0" w:before="80"/>
      </w:pPr>
    </w:p>
    <w:p>
      <w:pPr>
        <w:spacing w:after="80" w:before="80"/>
        <w:jc w:val="both"/>
      </w:pPr>
      <w:r>
        <w:rPr>
          <w:rFonts w:ascii="Arial" w:cs="Arial" w:eastAsia="Arial" w:hAnsi="Arial"/>
          <w:b w:val="false"/>
          <w:bCs w:val="false"/>
          <w:color w:val="1A1A1A"/>
          <w:sz w:val="20"/>
          <w:szCs w:val="20"/>
        </w:rPr>
        <w:t xml:space="preserve">{textoObjeto}</w:t>
      </w:r>
    </w:p>
    <w:p>
      <w:pPr>
        <w:spacing w:after="80" w:before="80"/>
        <w:jc w:val="both"/>
      </w:pPr>
      <w:r>
        <w:rPr>
          <w:rFonts w:ascii="Arial" w:cs="Arial" w:eastAsia="Arial" w:hAnsi="Arial"/>
          <w:b w:val="false"/>
          <w:bCs w:val="false"/>
          <w:color w:val="1A1A1A"/>
          <w:sz w:val="20"/>
          <w:szCs w:val="20"/>
        </w:rPr>
        <w:t xml:space="preserve">Os serviços compreendem visita técnica ao local, medição de resistividade do solo, análise de risco com definição da classe de SPDA, elaboração do projeto completo de SPDA, entrega de todos os documentos técnicos, emissão de ART junto ao CREA/GO e emissão de Nota Fiscal.</w:t>
      </w:r>
    </w:p>
    <w:p>
      <w:pPr>
        <w:spacing w:after="0" w:before="60"/>
      </w:pPr>
    </w:p>
    <w:p>
      <w:pPr>
        <w:pBdr>
          <w:left w:val="single" w:color="C62828" w:sz="18" w:space="8"/>
        </w:pBdr>
        <w:shd w:fill="FFEBEE" w:val="clear"/>
        <w:spacing w:after="80" w:before="60"/>
        <w:ind w:left="120" w:right="120"/>
      </w:pPr>
      <w:r>
        <w:rPr>
          <w:rFonts w:ascii="Arial" w:cs="Arial" w:eastAsia="Arial" w:hAnsi="Arial"/>
          <w:b/>
          <w:bCs/>
          <w:color w:val="C62828"/>
          <w:sz w:val="19"/>
          <w:szCs w:val="19"/>
        </w:rPr>
        <w:t xml:space="preserve">  ✖  Não incluso: </w:t>
      </w:r>
      <w:r>
        <w:rPr>
          <w:rFonts w:ascii="Arial" w:cs="Arial" w:eastAsia="Arial" w:hAnsi="Arial"/>
          <w:color w:val="1A1A1A"/>
          <w:sz w:val="19"/>
          <w:szCs w:val="19"/>
        </w:rPr>
        <w:t xml:space="preserve">A instalação física do SPDA não está inclusa neste orçamento. O escopo se refere exclusivamente à elaboração dos projetos e documentos técnicos para subsidiar a execução.</w:t>
      </w:r>
    </w:p>
    <w:p>
      <w:pPr>
        <w:spacing w:after="0" w:before="280"/>
      </w:pPr>
    </w:p>
    <w:p>
      <w:pPr>
        <w:shd w:fill="F26522" w:val="clear"/>
        <w:spacing w:after="0" w:before="0"/>
      </w:pPr>
      <w:r>
        <w:rPr>
          <w:rFonts w:ascii="Arial" w:cs="Arial" w:eastAsia="Arial" w:hAnsi="Arial"/>
          <w:b/>
          <w:bCs/>
          <w:color w:val="FFFFFF"/>
          <w:sz w:val="24"/>
          <w:szCs w:val="24"/>
        </w:rPr>
        <w:t xml:space="preserve">  2   ESCOPO DETALHADO DOS SERVIÇOS</w:t>
      </w:r>
    </w:p>
    <w:p>
      <w:pPr>
        <w:shd w:fill="5B4FCF" w:val="clear"/>
        <w:spacing w:after="0" w:before="0"/>
      </w:pPr>
      <w:r>
        <w:rPr>
          <w:color w:val="5B4FCF"/>
          <w:sz w:val="4"/>
          <w:szCs w:val="4"/>
        </w:rPr>
        <w:t xml:space="preserve"> </w:t>
      </w:r>
    </w:p>
    <w:p>
      <w:pPr>
        <w:spacing w:after="0" w:before="80"/>
      </w:pPr>
    </w:p>
    <w:p>
      <w:pPr>
        <w:pBdr>
          <w:left w:val="single" w:color="F26522" w:sz="18" w:space="8"/>
        </w:pBdr>
        <w:spacing w:after="40" w:before="160"/>
        <w:ind w:left="160"/>
      </w:pPr>
      <w:r>
        <w:rPr>
          <w:rFonts w:ascii="Arial" w:cs="Arial" w:eastAsia="Arial" w:hAnsi="Arial"/>
          <w:b/>
          <w:bCs/>
          <w:color w:val="1A2F4A"/>
          <w:sz w:val="22"/>
          <w:szCs w:val="22"/>
        </w:rPr>
        <w:t xml:space="preserve">2.1  Projeto de Análise de Gerenciamento de Risco</w:t>
      </w:r>
    </w:p>
    <w:p>
      <w:pPr>
        <w:spacing w:after="80" w:before="80"/>
        <w:jc w:val="both"/>
      </w:pPr>
      <w:r>
        <w:rPr>
          <w:rFonts w:ascii="Arial" w:cs="Arial" w:eastAsia="Arial" w:hAnsi="Arial"/>
          <w:b w:val="false"/>
          <w:bCs w:val="false"/>
          <w:color w:val="1A1A1A"/>
          <w:sz w:val="20"/>
          <w:szCs w:val="20"/>
        </w:rPr>
        <w:t xml:space="preserve">O Projeto de Análise de Gerenciamento de Risco será elaborado em conformidade com a ABNT NBR 5419 — Proteção contra Descargas Atmosféricas. O serviço compreende:</w:t>
      </w:r>
    </w:p>
    <w:p>
      <w:pPr>
        <w:spacing w:after="0" w:before="40"/>
      </w:pPr>
    </w:p>
    <w:p>
      <w:pPr>
        <w:spacing w:after="40" w:before="120"/>
      </w:pPr>
      <w:r>
        <w:rPr>
          <w:rFonts w:ascii="Arial" w:cs="Arial" w:eastAsia="Arial" w:hAnsi="Arial"/>
          <w:b/>
          <w:bCs/>
          <w:color w:val="5B4FCF"/>
          <w:sz w:val="20"/>
          <w:szCs w:val="20"/>
        </w:rPr>
        <w:t xml:space="preserve">Visita Técnica ao Local:</w:t>
      </w:r>
    </w:p>
    <w:p>
      <w:pPr>
        <w:pStyle w:val="ListParagraph"/>
        <w:numPr>
          <w:ilvl w:val="0"/>
          <w:numId w:val="2"/>
        </w:numPr>
        <w:spacing w:after="55" w:before="55"/>
        <w:ind w:left="480" w:hanging="300"/>
      </w:pPr>
      <w:r>
        <w:rPr>
          <w:rFonts w:ascii="Arial" w:cs="Arial" w:eastAsia="Arial" w:hAnsi="Arial"/>
          <w:color w:val="1A1A1A"/>
          <w:sz w:val="20"/>
          <w:szCs w:val="20"/>
        </w:rPr>
        <w:t xml:space="preserve">{textoDeslocamento}</w:t>
      </w:r>
    </w:p>
    <w:p>
      <w:pPr>
        <w:pStyle w:val="ListParagraph"/>
        <w:numPr>
          <w:ilvl w:val="0"/>
          <w:numId w:val="2"/>
        </w:numPr>
        <w:spacing w:after="55" w:before="55"/>
        <w:ind w:left="480" w:hanging="300"/>
      </w:pPr>
      <w:r>
        <w:rPr>
          <w:rFonts w:ascii="Arial" w:cs="Arial" w:eastAsia="Arial" w:hAnsi="Arial"/>
          <w:color w:val="1A1A1A"/>
          <w:sz w:val="20"/>
          <w:szCs w:val="20"/>
        </w:rPr>
        <w:t xml:space="preserve">Levantamento in loco das características construtivas da edificação: dimensões, tipo de estrutura, cobertura, uso, número de pavimentos e ocupação;</w:t>
      </w:r>
    </w:p>
    <w:p>
      <w:pPr>
        <w:pStyle w:val="ListParagraph"/>
        <w:numPr>
          <w:ilvl w:val="0"/>
          <w:numId w:val="2"/>
        </w:numPr>
        <w:spacing w:after="55" w:before="55"/>
        <w:ind w:left="480" w:hanging="300"/>
      </w:pPr>
      <w:r>
        <w:rPr>
          <w:rFonts w:ascii="Arial" w:cs="Arial" w:eastAsia="Arial" w:hAnsi="Arial"/>
          <w:color w:val="1A1A1A"/>
          <w:sz w:val="20"/>
          <w:szCs w:val="20"/>
        </w:rPr>
        <w:t xml:space="preserve">Levantamento das instalações e equipamentos internos relevantes para a análise de risco;</w:t>
      </w:r>
    </w:p>
    <w:p>
      <w:pPr>
        <w:pStyle w:val="ListParagraph"/>
        <w:numPr>
          <w:ilvl w:val="0"/>
          <w:numId w:val="2"/>
        </w:numPr>
        <w:spacing w:after="55" w:before="55"/>
        <w:ind w:left="480" w:hanging="300"/>
      </w:pPr>
      <w:r>
        <w:rPr>
          <w:rFonts w:ascii="Arial" w:cs="Arial" w:eastAsia="Arial" w:hAnsi="Arial"/>
          <w:color w:val="1A1A1A"/>
          <w:sz w:val="20"/>
          <w:szCs w:val="20"/>
        </w:rPr>
        <w:t xml:space="preserve">Registro fotográfico e coleta de todas as informações necessárias para o cálculo de risco.</w:t>
      </w:r>
    </w:p>
    <w:p>
      <w:pPr>
        <w:spacing w:after="40" w:before="120"/>
      </w:pPr>
      <w:r>
        <w:rPr>
          <w:rFonts w:ascii="Arial" w:cs="Arial" w:eastAsia="Arial" w:hAnsi="Arial"/>
          <w:b/>
          <w:bCs/>
          <w:color w:val="5B4FCF"/>
          <w:sz w:val="20"/>
          <w:szCs w:val="20"/>
        </w:rPr>
        <w:t xml:space="preserve">Medição de Resistividade do Solo:</w:t>
      </w:r>
    </w:p>
    <w:p>
      <w:pPr>
        <w:pStyle w:val="ListParagraph"/>
        <w:numPr>
          <w:ilvl w:val="0"/>
          <w:numId w:val="2"/>
        </w:numPr>
        <w:spacing w:after="55" w:before="55"/>
        <w:ind w:left="480" w:hanging="300"/>
      </w:pPr>
      <w:r>
        <w:rPr>
          <w:rFonts w:ascii="Arial" w:cs="Arial" w:eastAsia="Arial" w:hAnsi="Arial"/>
          <w:color w:val="1A1A1A"/>
          <w:sz w:val="20"/>
          <w:szCs w:val="20"/>
        </w:rPr>
        <w:t xml:space="preserve">Medição da resistividade elétrica do solo no local da edificação, utilizando método de Wenner (quatro eletrodos) com terrômetro calibrado;</w:t>
      </w:r>
    </w:p>
    <w:p>
      <w:pPr>
        <w:pStyle w:val="ListParagraph"/>
        <w:numPr>
          <w:ilvl w:val="0"/>
          <w:numId w:val="2"/>
        </w:numPr>
        <w:spacing w:after="55" w:before="55"/>
        <w:ind w:left="480" w:hanging="300"/>
      </w:pPr>
      <w:r>
        <w:rPr>
          <w:rFonts w:ascii="Arial" w:cs="Arial" w:eastAsia="Arial" w:hAnsi="Arial"/>
          <w:color w:val="1A1A1A"/>
          <w:sz w:val="20"/>
          <w:szCs w:val="20"/>
        </w:rPr>
        <w:t xml:space="preserve">Medições em múltiplos espaçamentos para determinação do perfil de resistividade em função da profundidade;</w:t>
      </w:r>
    </w:p>
    <w:p>
      <w:pPr>
        <w:pStyle w:val="ListParagraph"/>
        <w:numPr>
          <w:ilvl w:val="0"/>
          <w:numId w:val="2"/>
        </w:numPr>
        <w:spacing w:after="55" w:before="55"/>
        <w:ind w:left="480" w:hanging="300"/>
      </w:pPr>
      <w:r>
        <w:rPr>
          <w:rFonts w:ascii="Arial" w:cs="Arial" w:eastAsia="Arial" w:hAnsi="Arial"/>
          <w:color w:val="1A1A1A"/>
          <w:sz w:val="20"/>
          <w:szCs w:val="20"/>
        </w:rPr>
        <w:t xml:space="preserve">Registro dos resultados para uso no dimensionamento da malha de aterramento do SPDA.</w:t>
      </w:r>
    </w:p>
    <w:p>
      <w:pPr>
        <w:spacing w:after="40" w:before="120"/>
      </w:pPr>
      <w:r>
        <w:rPr>
          <w:rFonts w:ascii="Arial" w:cs="Arial" w:eastAsia="Arial" w:hAnsi="Arial"/>
          <w:b/>
          <w:bCs/>
          <w:color w:val="5B4FCF"/>
          <w:sz w:val="20"/>
          <w:szCs w:val="20"/>
        </w:rPr>
        <w:t xml:space="preserve">Análise de Gerenciamento de Risco (NBR 5419):</w:t>
      </w:r>
    </w:p>
    <w:p>
      <w:pPr>
        <w:pStyle w:val="ListParagraph"/>
        <w:numPr>
          <w:ilvl w:val="0"/>
          <w:numId w:val="2"/>
        </w:numPr>
        <w:spacing w:after="55" w:before="55"/>
        <w:ind w:left="480" w:hanging="300"/>
      </w:pPr>
      <w:r>
        <w:rPr>
          <w:rFonts w:ascii="Arial" w:cs="Arial" w:eastAsia="Arial" w:hAnsi="Arial"/>
          <w:color w:val="1A1A1A"/>
          <w:sz w:val="20"/>
          <w:szCs w:val="20"/>
        </w:rPr>
        <w:t xml:space="preserve">Cálculo das frequências de eventos perigosos (raios diretos na estrutura, próximos à estrutura, em linhas de serviço e próximos às linhas) conforme metodologia da norma;</w:t>
      </w:r>
    </w:p>
    <w:p>
      <w:pPr>
        <w:pStyle w:val="ListParagraph"/>
        <w:numPr>
          <w:ilvl w:val="0"/>
          <w:numId w:val="2"/>
        </w:numPr>
        <w:spacing w:after="55" w:before="55"/>
        <w:ind w:left="480" w:hanging="300"/>
      </w:pPr>
      <w:r>
        <w:rPr>
          <w:rFonts w:ascii="Arial" w:cs="Arial" w:eastAsia="Arial" w:hAnsi="Arial"/>
          <w:color w:val="1A1A1A"/>
          <w:sz w:val="20"/>
          <w:szCs w:val="20"/>
        </w:rPr>
        <w:t xml:space="preserve">Avaliação das componentes de risco R1 (risco de perda de vida humana), R2 (risco de perda de serviço público) e R3 (risco de perda de patrimônio);</w:t>
      </w:r>
    </w:p>
    <w:p>
      <w:pPr>
        <w:pStyle w:val="ListParagraph"/>
        <w:numPr>
          <w:ilvl w:val="0"/>
          <w:numId w:val="2"/>
        </w:numPr>
        <w:spacing w:after="55" w:before="55"/>
        <w:ind w:left="480" w:hanging="300"/>
      </w:pPr>
      <w:r>
        <w:rPr>
          <w:rFonts w:ascii="Arial" w:cs="Arial" w:eastAsia="Arial" w:hAnsi="Arial"/>
          <w:color w:val="1A1A1A"/>
          <w:sz w:val="20"/>
          <w:szCs w:val="20"/>
        </w:rPr>
        <w:t xml:space="preserve">Comparação com os riscos toleráveis definidos pela norma para determinação da necessidade de proteção e da classe de SPDA requerida;</w:t>
      </w:r>
    </w:p>
    <w:p>
      <w:pPr>
        <w:pStyle w:val="ListParagraph"/>
        <w:numPr>
          <w:ilvl w:val="0"/>
          <w:numId w:val="2"/>
        </w:numPr>
        <w:spacing w:after="55" w:before="55"/>
        <w:ind w:left="480" w:hanging="300"/>
      </w:pPr>
      <w:r>
        <w:rPr>
          <w:rFonts w:ascii="Arial" w:cs="Arial" w:eastAsia="Arial" w:hAnsi="Arial"/>
          <w:color w:val="1A1A1A"/>
          <w:sz w:val="20"/>
          <w:szCs w:val="20"/>
        </w:rPr>
        <w:t xml:space="preserve">Definição dos parâmetros do gerenciamento de risco: nível de proteção (NP), classe de SPDA (I, II, III ou IV) e medidas de proteção recomendadas.</w:t>
      </w:r>
    </w:p>
    <w:p>
      <w:pPr>
        <w:spacing w:after="40" w:before="120"/>
      </w:pPr>
      <w:r>
        <w:rPr>
          <w:rFonts w:ascii="Arial" w:cs="Arial" w:eastAsia="Arial" w:hAnsi="Arial"/>
          <w:b/>
          <w:bCs/>
          <w:color w:val="5B4FCF"/>
          <w:sz w:val="20"/>
          <w:szCs w:val="20"/>
        </w:rPr>
        <w:t xml:space="preserve">Documentação Entregue — Item 2.1:</w:t>
      </w:r>
    </w:p>
    <w:p>
      <w:pPr>
        <w:pStyle w:val="ListParagraph"/>
        <w:numPr>
          <w:ilvl w:val="0"/>
          <w:numId w:val="2"/>
        </w:numPr>
        <w:spacing w:after="55" w:before="55"/>
        <w:ind w:left="480" w:hanging="300"/>
      </w:pPr>
      <w:r>
        <w:rPr>
          <w:rFonts w:ascii="Arial" w:cs="Arial" w:eastAsia="Arial" w:hAnsi="Arial"/>
          <w:color w:val="1A1A1A"/>
          <w:sz w:val="20"/>
          <w:szCs w:val="20"/>
        </w:rPr>
        <w:t xml:space="preserve">Relatório técnico de Análise de Gerenciamento de Risco, com todos os cálculos, parâmetros adotados e conclusões, conforme ABNT NBR 5419;</w:t>
      </w:r>
    </w:p>
    <w:p>
      <w:pPr>
        <w:pStyle w:val="ListParagraph"/>
        <w:numPr>
          <w:ilvl w:val="0"/>
          <w:numId w:val="2"/>
        </w:numPr>
        <w:spacing w:after="55" w:before="55"/>
        <w:ind w:left="480" w:hanging="300"/>
      </w:pPr>
      <w:r>
        <w:rPr>
          <w:rFonts w:ascii="Arial" w:cs="Arial" w:eastAsia="Arial" w:hAnsi="Arial"/>
          <w:color w:val="1A1A1A"/>
          <w:sz w:val="20"/>
          <w:szCs w:val="20"/>
        </w:rPr>
        <w:t xml:space="preserve">Laudo técnico com parecer conclusivo: necessidade de SPDA, classe definida e nível de proteção requerido;</w:t>
      </w:r>
    </w:p>
    <w:p>
      <w:pPr>
        <w:pStyle w:val="ListParagraph"/>
        <w:numPr>
          <w:ilvl w:val="0"/>
          <w:numId w:val="2"/>
        </w:numPr>
        <w:spacing w:after="55" w:before="55"/>
        <w:ind w:left="480" w:hanging="300"/>
      </w:pPr>
      <w:r>
        <w:rPr>
          <w:rFonts w:ascii="Arial" w:cs="Arial" w:eastAsia="Arial" w:hAnsi="Arial"/>
          <w:color w:val="1A1A1A"/>
          <w:sz w:val="20"/>
          <w:szCs w:val="20"/>
        </w:rPr>
        <w:t xml:space="preserve">Memorial de cálculo detalhado das componentes de risco;</w:t>
      </w:r>
    </w:p>
    <w:p>
      <w:pPr>
        <w:pStyle w:val="ListParagraph"/>
        <w:numPr>
          <w:ilvl w:val="0"/>
          <w:numId w:val="2"/>
        </w:numPr>
        <w:spacing w:after="55" w:before="55"/>
        <w:ind w:left="480" w:hanging="300"/>
      </w:pPr>
      <w:r>
        <w:rPr>
          <w:rFonts w:ascii="Arial" w:cs="Arial" w:eastAsia="Arial" w:hAnsi="Arial"/>
          <w:color w:val="1A1A1A"/>
          <w:sz w:val="20"/>
          <w:szCs w:val="20"/>
        </w:rPr>
        <w:t xml:space="preserve">Registro dos resultados da medição de resistividade do solo.</w:t>
      </w:r>
    </w:p>
    <w:p>
      <w:pPr>
        <w:spacing w:after="0" w:before="80"/>
      </w:pPr>
    </w:p>
    <w:p>
      <w:pPr>
        <w:pBdr>
          <w:left w:val="single" w:color="F26522" w:sz="18" w:space="8"/>
        </w:pBdr>
        <w:spacing w:after="40" w:before="160"/>
        <w:ind w:left="160"/>
      </w:pPr>
      <w:r>
        <w:rPr>
          <w:rFonts w:ascii="Arial" w:cs="Arial" w:eastAsia="Arial" w:hAnsi="Arial"/>
          <w:b/>
          <w:bCs/>
          <w:color w:val="1A2F4A"/>
          <w:sz w:val="22"/>
          <w:szCs w:val="22"/>
        </w:rPr>
        <w:t xml:space="preserve">2.2  Projeto de SPDA</w:t>
      </w:r>
    </w:p>
    <w:p>
      <w:pPr>
        <w:spacing w:after="80" w:before="80"/>
        <w:jc w:val="both"/>
      </w:pPr>
      <w:r>
        <w:rPr>
          <w:rFonts w:ascii="Arial" w:cs="Arial" w:eastAsia="Arial" w:hAnsi="Arial"/>
          <w:b w:val="false"/>
          <w:bCs w:val="false"/>
          <w:color w:val="1A1A1A"/>
          <w:sz w:val="20"/>
          <w:szCs w:val="20"/>
        </w:rPr>
        <w:t xml:space="preserve">O Projeto de SPDA será elaborado com base nas conclusões da Análise de Gerenciamento de Risco (item 2.1), em conformidade com a ABNT NBR 5419 — Proteção contra Descargas Atmosféricas. O serviço compreende:</w:t>
      </w:r>
    </w:p>
    <w:p>
      <w:pPr>
        <w:spacing w:after="0" w:before="40"/>
      </w:pPr>
    </w:p>
    <w:p>
      <w:pPr>
        <w:spacing w:after="40" w:before="120"/>
      </w:pPr>
      <w:r>
        <w:rPr>
          <w:rFonts w:ascii="Arial" w:cs="Arial" w:eastAsia="Arial" w:hAnsi="Arial"/>
          <w:b/>
          <w:bCs/>
          <w:color w:val="5B4FCF"/>
          <w:sz w:val="20"/>
          <w:szCs w:val="20"/>
        </w:rPr>
        <w:t xml:space="preserve">Dimensionamento do Sistema de Captação:</w:t>
      </w:r>
    </w:p>
    <w:p>
      <w:pPr>
        <w:pStyle w:val="ListParagraph"/>
        <w:numPr>
          <w:ilvl w:val="0"/>
          <w:numId w:val="2"/>
        </w:numPr>
        <w:spacing w:after="55" w:before="55"/>
        <w:ind w:left="480" w:hanging="300"/>
      </w:pPr>
      <w:r>
        <w:rPr>
          <w:rFonts w:ascii="Arial" w:cs="Arial" w:eastAsia="Arial" w:hAnsi="Arial"/>
          <w:color w:val="1A1A1A"/>
          <w:sz w:val="20"/>
          <w:szCs w:val="20"/>
        </w:rPr>
        <w:t xml:space="preserve">Definição do método de proteção (ângulo de proteção, malha ou esfera rolante) conforme a classe de SPDA determinada;</w:t>
      </w:r>
    </w:p>
    <w:p>
      <w:pPr>
        <w:pStyle w:val="ListParagraph"/>
        <w:numPr>
          <w:ilvl w:val="0"/>
          <w:numId w:val="2"/>
        </w:numPr>
        <w:spacing w:after="55" w:before="55"/>
        <w:ind w:left="480" w:hanging="300"/>
      </w:pPr>
      <w:r>
        <w:rPr>
          <w:rFonts w:ascii="Arial" w:cs="Arial" w:eastAsia="Arial" w:hAnsi="Arial"/>
          <w:color w:val="1A1A1A"/>
          <w:sz w:val="20"/>
          <w:szCs w:val="20"/>
        </w:rPr>
        <w:t xml:space="preserve">Dimensionamento e posicionamento dos captores (hastes Franklin, condutores horizontais ou malha de captores) na cobertura da edificação;</w:t>
      </w:r>
    </w:p>
    <w:p>
      <w:pPr>
        <w:pStyle w:val="ListParagraph"/>
        <w:numPr>
          <w:ilvl w:val="0"/>
          <w:numId w:val="2"/>
        </w:numPr>
        <w:spacing w:after="55" w:before="55"/>
        <w:ind w:left="480" w:hanging="300"/>
      </w:pPr>
      <w:r>
        <w:rPr>
          <w:rFonts w:ascii="Arial" w:cs="Arial" w:eastAsia="Arial" w:hAnsi="Arial"/>
          <w:color w:val="1A1A1A"/>
          <w:sz w:val="20"/>
          <w:szCs w:val="20"/>
        </w:rPr>
        <w:t xml:space="preserve">Verificação das zonas de proteção e cobertura de todos os pontos da estrutura.</w:t>
      </w:r>
    </w:p>
    <w:p>
      <w:pPr>
        <w:spacing w:after="40" w:before="120"/>
      </w:pPr>
      <w:r>
        <w:rPr>
          <w:rFonts w:ascii="Arial" w:cs="Arial" w:eastAsia="Arial" w:hAnsi="Arial"/>
          <w:b/>
          <w:bCs/>
          <w:color w:val="5B4FCF"/>
          <w:sz w:val="20"/>
          <w:szCs w:val="20"/>
        </w:rPr>
        <w:t xml:space="preserve">Dimensionamento dos Condutores de Descida:</w:t>
      </w:r>
    </w:p>
    <w:p>
      <w:pPr>
        <w:pStyle w:val="ListParagraph"/>
        <w:numPr>
          <w:ilvl w:val="0"/>
          <w:numId w:val="2"/>
        </w:numPr>
        <w:spacing w:after="55" w:before="55"/>
        <w:ind w:left="480" w:hanging="300"/>
      </w:pPr>
      <w:r>
        <w:rPr>
          <w:rFonts w:ascii="Arial" w:cs="Arial" w:eastAsia="Arial" w:hAnsi="Arial"/>
          <w:color w:val="1A1A1A"/>
          <w:sz w:val="20"/>
          <w:szCs w:val="20"/>
        </w:rPr>
        <w:t xml:space="preserve">Definição do número e posicionamento dos condutores de descida ao longo do perímetro da edificação, respeitando os espaçamentos máximos definidos pela classe de SPDA;</w:t>
      </w:r>
    </w:p>
    <w:p>
      <w:pPr>
        <w:pStyle w:val="ListParagraph"/>
        <w:numPr>
          <w:ilvl w:val="0"/>
          <w:numId w:val="2"/>
        </w:numPr>
        <w:spacing w:after="55" w:before="55"/>
        <w:ind w:left="480" w:hanging="300"/>
      </w:pPr>
      <w:r>
        <w:rPr>
          <w:rFonts w:ascii="Arial" w:cs="Arial" w:eastAsia="Arial" w:hAnsi="Arial"/>
          <w:color w:val="1A1A1A"/>
          <w:sz w:val="20"/>
          <w:szCs w:val="20"/>
        </w:rPr>
        <w:t xml:space="preserve">Especificação das seções dos condutores (cobre, alumínio ou aço galvanizado) conforme classe de SPDA;</w:t>
      </w:r>
    </w:p>
    <w:p>
      <w:pPr>
        <w:pStyle w:val="ListParagraph"/>
        <w:numPr>
          <w:ilvl w:val="0"/>
          <w:numId w:val="2"/>
        </w:numPr>
        <w:spacing w:after="55" w:before="55"/>
        <w:ind w:left="480" w:hanging="300"/>
      </w:pPr>
      <w:r>
        <w:rPr>
          <w:rFonts w:ascii="Arial" w:cs="Arial" w:eastAsia="Arial" w:hAnsi="Arial"/>
          <w:color w:val="1A1A1A"/>
          <w:sz w:val="20"/>
          <w:szCs w:val="20"/>
        </w:rPr>
        <w:t xml:space="preserve">Definição dos dispositivos de fixação e proteção mecânica dos condutores de descida.</w:t>
      </w:r>
    </w:p>
    <w:p>
      <w:pPr>
        <w:spacing w:after="40" w:before="120"/>
      </w:pPr>
      <w:r>
        <w:rPr>
          <w:rFonts w:ascii="Arial" w:cs="Arial" w:eastAsia="Arial" w:hAnsi="Arial"/>
          <w:b/>
          <w:bCs/>
          <w:color w:val="5B4FCF"/>
          <w:sz w:val="20"/>
          <w:szCs w:val="20"/>
        </w:rPr>
        <w:t xml:space="preserve">Dimensionamento da Malha de Aterramento:</w:t>
      </w:r>
    </w:p>
    <w:p>
      <w:pPr>
        <w:pStyle w:val="ListParagraph"/>
        <w:numPr>
          <w:ilvl w:val="0"/>
          <w:numId w:val="2"/>
        </w:numPr>
        <w:spacing w:after="55" w:before="55"/>
        <w:ind w:left="480" w:hanging="300"/>
      </w:pPr>
      <w:r>
        <w:rPr>
          <w:rFonts w:ascii="Arial" w:cs="Arial" w:eastAsia="Arial" w:hAnsi="Arial"/>
          <w:color w:val="1A1A1A"/>
          <w:sz w:val="20"/>
          <w:szCs w:val="20"/>
        </w:rPr>
        <w:t xml:space="preserve">Dimensionamento do sistema de aterramento (eletrodos, malhas, anéis de aterramento ou combinações) com base na resistividade do solo medida, objetivando a resistência de aterramento requerida pela norma;</w:t>
      </w:r>
    </w:p>
    <w:p>
      <w:pPr>
        <w:pStyle w:val="ListParagraph"/>
        <w:numPr>
          <w:ilvl w:val="0"/>
          <w:numId w:val="2"/>
        </w:numPr>
        <w:spacing w:after="55" w:before="55"/>
        <w:ind w:left="480" w:hanging="300"/>
      </w:pPr>
      <w:r>
        <w:rPr>
          <w:rFonts w:ascii="Arial" w:cs="Arial" w:eastAsia="Arial" w:hAnsi="Arial"/>
          <w:color w:val="1A1A1A"/>
          <w:sz w:val="20"/>
          <w:szCs w:val="20"/>
        </w:rPr>
        <w:t xml:space="preserve">Especificação dos eletrodos (hastes cobreadas, fitas de cobre ou cabo de cobre nu), suas dimensões e disposição;</w:t>
      </w:r>
    </w:p>
    <w:p>
      <w:pPr>
        <w:pStyle w:val="ListParagraph"/>
        <w:numPr>
          <w:ilvl w:val="0"/>
          <w:numId w:val="2"/>
        </w:numPr>
        <w:spacing w:after="55" w:before="55"/>
        <w:ind w:left="480" w:hanging="300"/>
      </w:pPr>
      <w:r>
        <w:rPr>
          <w:rFonts w:ascii="Arial" w:cs="Arial" w:eastAsia="Arial" w:hAnsi="Arial"/>
          <w:color w:val="1A1A1A"/>
          <w:sz w:val="20"/>
          <w:szCs w:val="20"/>
        </w:rPr>
        <w:t xml:space="preserve">Cálculo da resistência de aterramento esperada e definição das estratégias de redução quando necessário.</w:t>
      </w:r>
    </w:p>
    <w:p>
      <w:pPr>
        <w:spacing w:after="40" w:before="120"/>
      </w:pPr>
      <w:r>
        <w:rPr>
          <w:rFonts w:ascii="Arial" w:cs="Arial" w:eastAsia="Arial" w:hAnsi="Arial"/>
          <w:b/>
          <w:bCs/>
          <w:color w:val="5B4FCF"/>
          <w:sz w:val="20"/>
          <w:szCs w:val="20"/>
        </w:rPr>
        <w:t xml:space="preserve">Proteção contra Sobretensões (LEMP):</w:t>
      </w:r>
    </w:p>
    <w:p>
      <w:pPr>
        <w:pStyle w:val="ListParagraph"/>
        <w:numPr>
          <w:ilvl w:val="0"/>
          <w:numId w:val="2"/>
        </w:numPr>
        <w:spacing w:after="55" w:before="55"/>
        <w:ind w:left="480" w:hanging="300"/>
      </w:pPr>
      <w:r>
        <w:rPr>
          <w:rFonts w:ascii="Arial" w:cs="Arial" w:eastAsia="Arial" w:hAnsi="Arial"/>
          <w:color w:val="1A1A1A"/>
          <w:sz w:val="20"/>
          <w:szCs w:val="20"/>
        </w:rPr>
        <w:t xml:space="preserve">Especificação dos Dispositivos de Proteção contra Surtos (DPS) a serem instalados nos quadros elétricos, nas entradas das linhas de dados e comunicação, conforme a classe de SPDA e os níveis de proteção eletromagnética (LPZ);</w:t>
      </w:r>
    </w:p>
    <w:p>
      <w:pPr>
        <w:pStyle w:val="ListParagraph"/>
        <w:numPr>
          <w:ilvl w:val="0"/>
          <w:numId w:val="2"/>
        </w:numPr>
        <w:spacing w:after="55" w:before="55"/>
        <w:ind w:left="480" w:hanging="300"/>
      </w:pPr>
      <w:r>
        <w:rPr>
          <w:rFonts w:ascii="Arial" w:cs="Arial" w:eastAsia="Arial" w:hAnsi="Arial"/>
          <w:color w:val="1A1A1A"/>
          <w:sz w:val="20"/>
          <w:szCs w:val="20"/>
        </w:rPr>
        <w:t xml:space="preserve">Definição das zonas de proteção eletromagnética (LPZ 0A, 0B, 1 e 2) e das medidas de blindagem.</w:t>
      </w:r>
    </w:p>
    <w:p>
      <w:pPr>
        <w:spacing w:after="40" w:before="120"/>
      </w:pPr>
      <w:r>
        <w:rPr>
          <w:rFonts w:ascii="Arial" w:cs="Arial" w:eastAsia="Arial" w:hAnsi="Arial"/>
          <w:b/>
          <w:bCs/>
          <w:color w:val="5B4FCF"/>
          <w:sz w:val="20"/>
          <w:szCs w:val="20"/>
        </w:rPr>
        <w:t xml:space="preserve">Documentação Entregue — Item 2.2:</w:t>
      </w:r>
    </w:p>
    <w:p>
      <w:pPr>
        <w:pStyle w:val="ListParagraph"/>
        <w:numPr>
          <w:ilvl w:val="0"/>
          <w:numId w:val="2"/>
        </w:numPr>
        <w:spacing w:after="55" w:before="55"/>
        <w:ind w:left="480" w:hanging="300"/>
      </w:pPr>
      <w:r>
        <w:rPr>
          <w:rFonts w:ascii="Arial" w:cs="Arial" w:eastAsia="Arial" w:hAnsi="Arial"/>
          <w:color w:val="1A1A1A"/>
          <w:sz w:val="20"/>
          <w:szCs w:val="20"/>
        </w:rPr>
        <w:t xml:space="preserve">Pranchas técnicas do projeto de SPDA em formato DWG e PDF: planta baixa da cobertura com disposição dos captores, planta de fachada com condutores de descida, planta de aterramento e detalhes construtivos;</w:t>
      </w:r>
    </w:p>
    <w:p>
      <w:pPr>
        <w:pStyle w:val="ListParagraph"/>
        <w:numPr>
          <w:ilvl w:val="0"/>
          <w:numId w:val="2"/>
        </w:numPr>
        <w:spacing w:after="55" w:before="55"/>
        <w:ind w:left="480" w:hanging="300"/>
      </w:pPr>
      <w:r>
        <w:rPr>
          <w:rFonts w:ascii="Arial" w:cs="Arial" w:eastAsia="Arial" w:hAnsi="Arial"/>
          <w:color w:val="1A1A1A"/>
          <w:sz w:val="20"/>
          <w:szCs w:val="20"/>
        </w:rPr>
        <w:t xml:space="preserve">Memorial descritivo do sistema de SPDA;</w:t>
      </w:r>
    </w:p>
    <w:p>
      <w:pPr>
        <w:pStyle w:val="ListParagraph"/>
        <w:numPr>
          <w:ilvl w:val="0"/>
          <w:numId w:val="2"/>
        </w:numPr>
        <w:spacing w:after="55" w:before="55"/>
        <w:ind w:left="480" w:hanging="300"/>
      </w:pPr>
      <w:r>
        <w:rPr>
          <w:rFonts w:ascii="Arial" w:cs="Arial" w:eastAsia="Arial" w:hAnsi="Arial"/>
          <w:color w:val="1A1A1A"/>
          <w:sz w:val="20"/>
          <w:szCs w:val="20"/>
        </w:rPr>
        <w:t xml:space="preserve">Memorial de cálculo: dimensionamento do sistema de captação, condutores de descida e malha de aterramento;</w:t>
      </w:r>
    </w:p>
    <w:p>
      <w:pPr>
        <w:pStyle w:val="ListParagraph"/>
        <w:numPr>
          <w:ilvl w:val="0"/>
          <w:numId w:val="2"/>
        </w:numPr>
        <w:spacing w:after="55" w:before="55"/>
        <w:ind w:left="480" w:hanging="300"/>
      </w:pPr>
      <w:r>
        <w:rPr>
          <w:rFonts w:ascii="Arial" w:cs="Arial" w:eastAsia="Arial" w:hAnsi="Arial"/>
          <w:color w:val="1A1A1A"/>
          <w:sz w:val="20"/>
          <w:szCs w:val="20"/>
        </w:rPr>
        <w:t xml:space="preserve">Lista de materiais completa com especificações técnicas e quantitativos para execução do SPDA;</w:t>
      </w:r>
    </w:p>
    <w:p>
      <w:pPr>
        <w:pStyle w:val="ListParagraph"/>
        <w:numPr>
          <w:ilvl w:val="0"/>
          <w:numId w:val="2"/>
        </w:numPr>
        <w:spacing w:after="55" w:before="55"/>
        <w:ind w:left="480" w:hanging="300"/>
      </w:pPr>
      <w:r>
        <w:rPr>
          <w:rFonts w:ascii="Arial" w:cs="Arial" w:eastAsia="Arial" w:hAnsi="Arial"/>
          <w:color w:val="1A1A1A"/>
          <w:sz w:val="20"/>
          <w:szCs w:val="20"/>
        </w:rPr>
        <w:t xml:space="preserve">Especificação dos DPS recomendados para proteção contra LEMP.</w:t>
      </w:r>
    </w:p>
    <w:p>
      <w:pPr>
        <w:spacing w:after="0" w:before="80"/>
      </w:pPr>
    </w:p>
    <w:p>
      <w:pPr>
        <w:pBdr>
          <w:left w:val="single" w:color="F26522" w:sz="18" w:space="8"/>
        </w:pBdr>
        <w:spacing w:after="40" w:before="160"/>
        <w:ind w:left="160"/>
      </w:pPr>
      <w:r>
        <w:rPr>
          <w:rFonts w:ascii="Arial" w:cs="Arial" w:eastAsia="Arial" w:hAnsi="Arial"/>
          <w:b/>
          <w:bCs/>
          <w:color w:val="1A2F4A"/>
          <w:sz w:val="22"/>
          <w:szCs w:val="22"/>
        </w:rPr>
        <w:t xml:space="preserve">2.3  Emissão de ART e Nota Fiscal</w:t>
      </w:r>
    </w:p>
    <w:p>
      <w:pPr>
        <w:pStyle w:val="ListParagraph"/>
        <w:numPr>
          <w:ilvl w:val="0"/>
          <w:numId w:val="2"/>
        </w:numPr>
        <w:spacing w:after="55" w:before="55"/>
        <w:ind w:left="480" w:hanging="300"/>
      </w:pPr>
      <w:r>
        <w:rPr>
          <w:rFonts w:ascii="Arial" w:cs="Arial" w:eastAsia="Arial" w:hAnsi="Arial"/>
          <w:color w:val="1A1A1A"/>
          <w:sz w:val="20"/>
          <w:szCs w:val="20"/>
        </w:rPr>
        <w:t xml:space="preserve">Emissão de ART — Anotação de Responsabilidade Técnica junto ao CREA/GO referente à elaboração do Projeto de Análise de Gerenciamento de Risco e do Projeto de SPDA, conforme ABNT NBR 5419;</w:t>
      </w:r>
    </w:p>
    <w:p>
      <w:pPr>
        <w:pStyle w:val="ListParagraph"/>
        <w:numPr>
          <w:ilvl w:val="0"/>
          <w:numId w:val="2"/>
        </w:numPr>
        <w:spacing w:after="55" w:before="55"/>
        <w:ind w:left="480" w:hanging="300"/>
      </w:pPr>
      <w:r>
        <w:rPr>
          <w:rFonts w:ascii="Arial" w:cs="Arial" w:eastAsia="Arial" w:hAnsi="Arial"/>
          <w:color w:val="1A1A1A"/>
          <w:sz w:val="20"/>
          <w:szCs w:val="20"/>
        </w:rPr>
        <w:t xml:space="preserve">Emissão de Nota Fiscal de Serviços pela GTA Energia Ltda ao término da entrega dos documentos.</w:t>
      </w:r>
    </w:p>
    <w:p>
      <w:pPr>
        <w:spacing w:after="0" w:before="280"/>
      </w:pPr>
    </w:p>
    <w:p>
      <w:pPr>
        <w:shd w:fill="F26522" w:val="clear"/>
        <w:spacing w:after="0" w:before="0"/>
      </w:pPr>
      <w:r>
        <w:rPr>
          <w:rFonts w:ascii="Arial" w:cs="Arial" w:eastAsia="Arial" w:hAnsi="Arial"/>
          <w:b/>
          <w:bCs/>
          <w:color w:val="FFFFFF"/>
          <w:sz w:val="24"/>
          <w:szCs w:val="24"/>
        </w:rPr>
        <w:t xml:space="preserve">  3   ITENS INCLUSOS E NÃO INCLUSOS</w:t>
      </w:r>
    </w:p>
    <w:p>
      <w:pPr>
        <w:shd w:fill="5B4FCF" w:val="clear"/>
        <w:spacing w:after="0" w:before="0"/>
      </w:pPr>
      <w:r>
        <w:rPr>
          <w:color w:val="5B4FCF"/>
          <w:sz w:val="4"/>
          <w:szCs w:val="4"/>
        </w:rPr>
        <w:t xml:space="preserve"> </w:t>
      </w:r>
    </w:p>
    <w:p>
      <w:pPr>
        <w:spacing w:after="0" w:before="80"/>
      </w:pPr>
    </w:p>
    <w:p>
      <w:pPr>
        <w:pBdr>
          <w:left w:val="single" w:color="F26522" w:sz="18" w:space="8"/>
        </w:pBdr>
        <w:spacing w:after="40" w:before="160"/>
        <w:ind w:left="160"/>
      </w:pPr>
      <w:r>
        <w:rPr>
          <w:rFonts w:ascii="Arial" w:cs="Arial" w:eastAsia="Arial" w:hAnsi="Arial"/>
          <w:b/>
          <w:bCs/>
          <w:color w:val="1A2F4A"/>
          <w:sz w:val="22"/>
          <w:szCs w:val="22"/>
        </w:rPr>
        <w:t xml:space="preserve">3.1  Itens Inclusos neste Orçamento</w:t>
      </w:r>
    </w:p>
    <w:p>
      <w:pPr>
        <w:pStyle w:val="ListParagraph"/>
        <w:numPr>
          <w:ilvl w:val="0"/>
          <w:numId w:val="2"/>
        </w:numPr>
        <w:spacing w:after="55" w:before="55"/>
        <w:ind w:left="480" w:hanging="300"/>
      </w:pPr>
      <w:r>
        <w:rPr>
          <w:rFonts w:ascii="Arial" w:cs="Arial" w:eastAsia="Arial" w:hAnsi="Arial"/>
          <w:color w:val="1A1A1A"/>
          <w:sz w:val="20"/>
          <w:szCs w:val="20"/>
        </w:rPr>
        <w:t xml:space="preserve">1 (uma) visita técnica ao local para coleta de informações e medição de resistividade do solo;</w:t>
      </w:r>
    </w:p>
    <w:p>
      <w:pPr>
        <w:pStyle w:val="ListParagraph"/>
        <w:numPr>
          <w:ilvl w:val="0"/>
          <w:numId w:val="2"/>
        </w:numPr>
        <w:spacing w:after="55" w:before="55"/>
        <w:ind w:left="480" w:hanging="300"/>
      </w:pPr>
      <w:r>
        <w:rPr>
          <w:rFonts w:ascii="Arial" w:cs="Arial" w:eastAsia="Arial" w:hAnsi="Arial"/>
          <w:color w:val="1A1A1A"/>
          <w:sz w:val="20"/>
          <w:szCs w:val="20"/>
        </w:rPr>
        <w:t xml:space="preserve">Medição de resistividade elétrica do solo com terrômetro (método Wenner — 4 eletrodos);</w:t>
      </w:r>
    </w:p>
    <w:p>
      <w:pPr>
        <w:pStyle w:val="ListParagraph"/>
        <w:numPr>
          <w:ilvl w:val="0"/>
          <w:numId w:val="2"/>
        </w:numPr>
        <w:spacing w:after="55" w:before="55"/>
        <w:ind w:left="480" w:hanging="300"/>
      </w:pPr>
      <w:r>
        <w:rPr>
          <w:rFonts w:ascii="Arial" w:cs="Arial" w:eastAsia="Arial" w:hAnsi="Arial"/>
          <w:color w:val="1A1A1A"/>
          <w:sz w:val="20"/>
          <w:szCs w:val="20"/>
        </w:rPr>
        <w:t xml:space="preserve">Análise de Gerenciamento de Risco completa conforme ABNT NBR 5419;</w:t>
      </w:r>
    </w:p>
    <w:p>
      <w:pPr>
        <w:pStyle w:val="ListParagraph"/>
        <w:numPr>
          <w:ilvl w:val="0"/>
          <w:numId w:val="2"/>
        </w:numPr>
        <w:spacing w:after="55" w:before="55"/>
        <w:ind w:left="480" w:hanging="300"/>
      </w:pPr>
      <w:r>
        <w:rPr>
          <w:rFonts w:ascii="Arial" w:cs="Arial" w:eastAsia="Arial" w:hAnsi="Arial"/>
          <w:color w:val="1A1A1A"/>
          <w:sz w:val="20"/>
          <w:szCs w:val="20"/>
        </w:rPr>
        <w:t xml:space="preserve">Relatório técnico, laudo e memorial de cálculo do gerenciamento de risco;</w:t>
      </w:r>
    </w:p>
    <w:p>
      <w:pPr>
        <w:pStyle w:val="ListParagraph"/>
        <w:numPr>
          <w:ilvl w:val="0"/>
          <w:numId w:val="2"/>
        </w:numPr>
        <w:spacing w:after="55" w:before="55"/>
        <w:ind w:left="480" w:hanging="300"/>
      </w:pPr>
      <w:r>
        <w:rPr>
          <w:rFonts w:ascii="Arial" w:cs="Arial" w:eastAsia="Arial" w:hAnsi="Arial"/>
          <w:color w:val="1A1A1A"/>
          <w:sz w:val="20"/>
          <w:szCs w:val="20"/>
        </w:rPr>
        <w:t xml:space="preserve">Projeto completo de SPDA conforme ABNT NBR 5419 com pranchas DWG/PDF;</w:t>
      </w:r>
    </w:p>
    <w:p>
      <w:pPr>
        <w:pStyle w:val="ListParagraph"/>
        <w:numPr>
          <w:ilvl w:val="0"/>
          <w:numId w:val="2"/>
        </w:numPr>
        <w:spacing w:after="55" w:before="55"/>
        <w:ind w:left="480" w:hanging="300"/>
      </w:pPr>
      <w:r>
        <w:rPr>
          <w:rFonts w:ascii="Arial" w:cs="Arial" w:eastAsia="Arial" w:hAnsi="Arial"/>
          <w:color w:val="1A1A1A"/>
          <w:sz w:val="20"/>
          <w:szCs w:val="20"/>
        </w:rPr>
        <w:t xml:space="preserve">Lista de materiais com especificações e quantitativos;</w:t>
      </w:r>
    </w:p>
    <w:p>
      <w:pPr>
        <w:pStyle w:val="ListParagraph"/>
        <w:numPr>
          <w:ilvl w:val="0"/>
          <w:numId w:val="2"/>
        </w:numPr>
        <w:spacing w:after="55" w:before="55"/>
        <w:ind w:left="480" w:hanging="300"/>
      </w:pPr>
      <w:r>
        <w:rPr>
          <w:rFonts w:ascii="Arial" w:cs="Arial" w:eastAsia="Arial" w:hAnsi="Arial"/>
          <w:color w:val="1A1A1A"/>
          <w:sz w:val="20"/>
          <w:szCs w:val="20"/>
        </w:rPr>
        <w:t xml:space="preserve">Memorial descritivo e memorial de cálculo do SPDA;</w:t>
      </w:r>
    </w:p>
    <w:p>
      <w:pPr>
        <w:pStyle w:val="ListParagraph"/>
        <w:numPr>
          <w:ilvl w:val="0"/>
          <w:numId w:val="2"/>
        </w:numPr>
        <w:spacing w:after="55" w:before="55"/>
        <w:ind w:left="480" w:hanging="300"/>
      </w:pPr>
      <w:r>
        <w:rPr>
          <w:rFonts w:ascii="Arial" w:cs="Arial" w:eastAsia="Arial" w:hAnsi="Arial"/>
          <w:color w:val="1A1A1A"/>
          <w:sz w:val="20"/>
          <w:szCs w:val="20"/>
        </w:rPr>
        <w:t xml:space="preserve">Dimensionamento da malha de aterramento;</w:t>
      </w:r>
    </w:p>
    <w:p>
      <w:pPr>
        <w:pStyle w:val="ListParagraph"/>
        <w:numPr>
          <w:ilvl w:val="0"/>
          <w:numId w:val="2"/>
        </w:numPr>
        <w:spacing w:after="55" w:before="55"/>
        <w:ind w:left="480" w:hanging="300"/>
      </w:pPr>
      <w:r>
        <w:rPr>
          <w:rFonts w:ascii="Arial" w:cs="Arial" w:eastAsia="Arial" w:hAnsi="Arial"/>
          <w:color w:val="1A1A1A"/>
          <w:sz w:val="20"/>
          <w:szCs w:val="20"/>
        </w:rPr>
        <w:t xml:space="preserve">Emissão de ART junto ao CREA/GO;</w:t>
      </w:r>
    </w:p>
    <w:p>
      <w:pPr>
        <w:pStyle w:val="ListParagraph"/>
        <w:numPr>
          <w:ilvl w:val="0"/>
          <w:numId w:val="2"/>
        </w:numPr>
        <w:spacing w:after="55" w:before="55"/>
        <w:ind w:left="480" w:hanging="300"/>
      </w:pPr>
      <w:r>
        <w:rPr>
          <w:rFonts w:ascii="Arial" w:cs="Arial" w:eastAsia="Arial" w:hAnsi="Arial"/>
          <w:color w:val="1A1A1A"/>
          <w:sz w:val="20"/>
          <w:szCs w:val="20"/>
        </w:rPr>
        <w:t xml:space="preserve">Emissão de Nota Fiscal dos serviços;</w:t>
      </w:r>
    </w:p>
    <w:p>
      <w:pPr>
        <w:pStyle w:val="ListParagraph"/>
        <w:numPr>
          <w:ilvl w:val="0"/>
          <w:numId w:val="2"/>
        </w:numPr>
        <w:spacing w:after="55" w:before="55"/>
        <w:ind w:left="480" w:hanging="300"/>
      </w:pPr>
      <w:r>
        <w:rPr>
          <w:rFonts w:ascii="Arial" w:cs="Arial" w:eastAsia="Arial" w:hAnsi="Arial"/>
          <w:color w:val="1A1A1A"/>
          <w:sz w:val="20"/>
          <w:szCs w:val="20"/>
        </w:rPr>
        <w:t xml:space="preserve">Deslocamento da equipe técnica ao local ({cidadeUf}).</w:t>
      </w:r>
    </w:p>
    <w:p>
      <w:pPr>
        <w:spacing w:after="0" w:before="80"/>
      </w:pPr>
    </w:p>
    <w:p>
      <w:pPr>
        <w:pBdr>
          <w:left w:val="single" w:color="C62828" w:sz="20" w:space="8"/>
        </w:pBdr>
        <w:shd w:fill="FFEBEE" w:val="clear"/>
        <w:spacing w:after="60" w:before="60"/>
        <w:ind w:left="120" w:right="120"/>
      </w:pPr>
      <w:r>
        <w:rPr>
          <w:rFonts w:ascii="Arial" w:cs="Arial" w:eastAsia="Arial" w:hAnsi="Arial"/>
          <w:b/>
          <w:bCs/>
          <w:color w:val="C62828"/>
          <w:sz w:val="19"/>
          <w:szCs w:val="19"/>
        </w:rPr>
        <w:t xml:space="preserve">  ✖  Itens NÃO inclusos:
</w:t>
      </w:r>
      <w:r>
        <w:rPr>
          <w:rFonts w:ascii="Arial" w:cs="Arial" w:eastAsia="Arial" w:hAnsi="Arial"/>
          <w:color w:val="1A1A1A"/>
          <w:sz w:val="19"/>
          <w:szCs w:val="19"/>
        </w:rPr>
        <w:t xml:space="preserve">Instalação física do SPDA (captores, condutores, aterramento, DPS e demais materiais); fornecimento de qualquer material ou equipamento; visitas adicionais além da prevista neste orçamento; taxa de emolumentos do CREA/GO referente à ART (responsabilidade do cliente).</w:t>
      </w:r>
    </w:p>
    <w:p>
      <w:pPr>
        <w:spacing w:after="0" w:before="280"/>
      </w:pPr>
    </w:p>
    <w:p>
      <w:pPr>
        <w:shd w:fill="F26522" w:val="clear"/>
        <w:spacing w:after="0" w:before="0"/>
      </w:pPr>
      <w:r>
        <w:rPr>
          <w:rFonts w:ascii="Arial" w:cs="Arial" w:eastAsia="Arial" w:hAnsi="Arial"/>
          <w:b/>
          <w:bCs/>
          <w:color w:val="FFFFFF"/>
          <w:sz w:val="24"/>
          <w:szCs w:val="24"/>
        </w:rPr>
        <w:t xml:space="preserve">  4   ORÇAMENTO COMERCIAL</w:t>
      </w:r>
    </w:p>
    <w:p>
      <w:pPr>
        <w:shd w:fill="5B4FCF" w:val="clear"/>
        <w:spacing w:after="0" w:before="0"/>
      </w:pPr>
      <w:r>
        <w:rPr>
          <w:color w:val="5B4FCF"/>
          <w:sz w:val="4"/>
          <w:szCs w:val="4"/>
        </w:rPr>
        <w:t xml:space="preserve"> </w:t>
      </w:r>
    </w:p>
    <w:p>
      <w:pPr>
        <w:spacing w:after="0" w:before="80"/>
      </w:pPr>
    </w:p>
    <w:p>
      <w:pPr>
        <w:pBdr>
          <w:left w:val="single" w:color="F26522" w:sz="18" w:space="8"/>
        </w:pBdr>
        <w:spacing w:after="40" w:before="160"/>
        <w:ind w:left="160"/>
      </w:pPr>
      <w:r>
        <w:rPr>
          <w:rFonts w:ascii="Arial" w:cs="Arial" w:eastAsia="Arial" w:hAnsi="Arial"/>
          <w:b/>
          <w:bCs/>
          <w:color w:val="1A2F4A"/>
          <w:sz w:val="22"/>
          <w:szCs w:val="22"/>
        </w:rPr>
        <w:t xml:space="preserve">4.1  Composição dos Valores</w:t>
      </w:r>
    </w:p>
    <w:p>
      <w:pPr>
        <w:spacing w:after="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406"/>
        <w:gridCol w:w="3500"/>
      </w:tblGrid>
      <w:tr>
        <w:tc>
          <w:tcPr>
            <w:tcW w:type="dxa" w:w="600"/>
            <w:tcBorders>
              <w:top w:val="single" w:color="CCCCCC" w:sz="1"/>
              <w:left w:val="single" w:color="CCCCCC" w:sz="1"/>
              <w:bottom w:val="single" w:color="CCCCCC" w:sz="1"/>
              <w:right w:val="single" w:color="CCCCCC" w:sz="1"/>
            </w:tcBorders>
            <w:shd w:fill="1A2F4A" w:val="clear"/>
            <w:tcMar>
              <w:top w:type="dxa" w:w="110"/>
              <w:left w:type="dxa" w:w="80"/>
              <w:bottom w:type="dxa" w:w="110"/>
              <w:right w:type="dxa" w:w="80"/>
            </w:tcMar>
          </w:tcPr>
          <w:p>
            <w:pPr>
              <w:jc w:val="center"/>
            </w:pPr>
            <w:r>
              <w:rPr>
                <w:rFonts w:ascii="Arial" w:cs="Arial" w:eastAsia="Arial" w:hAnsi="Arial"/>
                <w:b/>
                <w:bCs/>
                <w:color w:val="FFFFFF"/>
                <w:sz w:val="20"/>
                <w:szCs w:val="20"/>
              </w:rPr>
              <w:t xml:space="preserve">#</w:t>
            </w:r>
          </w:p>
        </w:tc>
        <w:tc>
          <w:tcPr>
            <w:tcW w:type="dxa" w:w="5406"/>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DESCRIÇÃO DO SERVIÇO</w:t>
            </w:r>
          </w:p>
        </w:tc>
        <w:tc>
          <w:tcPr>
            <w:tcW w:type="dxa" w:w="3500"/>
            <w:tcBorders>
              <w:top w:val="single" w:color="CCCCCC" w:sz="1"/>
              <w:left w:val="single" w:color="CCCCCC" w:sz="1"/>
              <w:bottom w:val="single" w:color="CCCCCC" w:sz="1"/>
              <w:right w:val="single" w:color="CCCCCC" w:sz="1"/>
            </w:tcBorders>
            <w:shd w:fill="1A2F4A" w:val="clear"/>
            <w:tcMar>
              <w:top w:type="dxa" w:w="110"/>
              <w:left w:type="dxa" w:w="80"/>
              <w:bottom w:type="dxa" w:w="110"/>
              <w:right w:type="dxa" w:w="160"/>
            </w:tcMar>
          </w:tcPr>
          <w:p>
            <w:pPr>
              <w:jc w:val="right"/>
            </w:pPr>
            <w:r>
              <w:rPr>
                <w:rFonts w:ascii="Arial" w:cs="Arial" w:eastAsia="Arial" w:hAnsi="Arial"/>
                <w:b/>
                <w:bCs/>
                <w:color w:val="FFFFFF"/>
                <w:sz w:val="20"/>
                <w:szCs w:val="20"/>
              </w:rPr>
              <w:t xml:space="preserve">VALOR (R$)</w:t>
            </w:r>
          </w:p>
        </w:tc>
      </w:tr>
      <w:tr>
        <w:tc>
          <w:tcPr>
            <w:tcW w:type="dxa" w:w="600"/>
            <w:tcBorders>
              <w:top w:val="single" w:color="CCCCCC" w:sz="1"/>
              <w:left w:val="single" w:color="CCCCCC" w:sz="1"/>
              <w:bottom w:val="single" w:color="CCCCCC" w:sz="1"/>
              <w:right w:val="single" w:color="CCCCCC" w:sz="1"/>
            </w:tcBorders>
            <w:shd w:fill="FEF0E7" w:val="clear"/>
            <w:tcMar>
              <w:top w:type="dxa" w:w="130"/>
              <w:left w:type="dxa" w:w="80"/>
              <w:bottom w:type="dxa" w:w="130"/>
              <w:right w:type="dxa" w:w="80"/>
            </w:tcMar>
            <w:vAlign w:val="center"/>
          </w:tcPr>
          <w:p>
            <w:pPr>
              <w:jc w:val="center"/>
            </w:pPr>
            <w:r>
              <w:rPr>
                <w:rFonts w:ascii="Arial" w:cs="Arial" w:eastAsia="Arial" w:hAnsi="Arial"/>
                <w:b/>
                <w:bCs/>
                <w:color w:val="F26522"/>
                <w:sz w:val="22"/>
                <w:szCs w:val="22"/>
              </w:rPr>
              <w:t xml:space="preserve">01</w:t>
            </w:r>
          </w:p>
        </w:tc>
        <w:tc>
          <w:tcPr>
            <w:tcW w:type="dxa" w:w="5406"/>
            <w:tcBorders>
              <w:top w:val="single" w:color="CCCCCC" w:sz="1"/>
              <w:left w:val="single" w:color="CCCCCC" w:sz="1"/>
              <w:bottom w:val="single" w:color="CCCCCC" w:sz="1"/>
              <w:right w:val="single" w:color="CCCCCC" w:sz="1"/>
            </w:tcBorders>
            <w:shd w:fill="FEF0E7" w:val="clear"/>
            <w:tcMar>
              <w:top w:type="dxa" w:w="130"/>
              <w:left w:type="dxa" w:w="180"/>
              <w:bottom w:type="dxa" w:w="130"/>
              <w:right w:type="dxa" w:w="180"/>
            </w:tcMar>
          </w:tcPr>
          <w:p>
            <w:pPr>
              <w:spacing w:after="0" w:before="0"/>
            </w:pPr>
            <w:r>
              <w:rPr>
                <w:rFonts w:ascii="Arial" w:cs="Arial" w:eastAsia="Arial" w:hAnsi="Arial"/>
                <w:b/>
                <w:bCs/>
                <w:color w:val="1A2F4A"/>
                <w:sz w:val="20"/>
                <w:szCs w:val="20"/>
              </w:rPr>
              <w:t xml:space="preserve">Projeto de Análise de Gerenciamento de Risco</w:t>
            </w:r>
          </w:p>
          <w:p>
            <w:pPr>
              <w:spacing w:after="0" w:before="20"/>
            </w:pPr>
            <w:r>
              <w:rPr>
                <w:rFonts w:ascii="Arial" w:cs="Arial" w:eastAsia="Arial" w:hAnsi="Arial"/>
                <w:i/>
                <w:iCs/>
                <w:color w:val="666666"/>
                <w:sz w:val="17"/>
                <w:szCs w:val="17"/>
              </w:rPr>
              <w:t xml:space="preserve">Visita técnica, medição de resistividade do solo, análise de risco ABNT NBR 5419, relatório, laudo e memorial de cálculo.</w:t>
            </w:r>
          </w:p>
        </w:tc>
        <w:tc>
          <w:tcPr>
            <w:tcW w:type="dxa" w:w="3500"/>
            <w:tcBorders>
              <w:top w:val="single" w:color="CCCCCC" w:sz="1"/>
              <w:left w:val="single" w:color="CCCCCC" w:sz="1"/>
              <w:bottom w:val="single" w:color="CCCCCC" w:sz="1"/>
              <w:right w:val="single" w:color="CCCCCC" w:sz="1"/>
            </w:tcBorders>
            <w:shd w:fill="FEF0E7" w:val="clear"/>
            <w:tcMar>
              <w:top w:type="dxa" w:w="130"/>
              <w:left w:type="dxa" w:w="80"/>
              <w:bottom w:type="dxa" w:w="130"/>
              <w:right w:type="dxa" w:w="160"/>
            </w:tcMar>
            <w:vAlign w:val="center"/>
          </w:tcPr>
          <w:p>
            <w:pPr>
              <w:jc w:val="right"/>
            </w:pPr>
            <w:r>
              <w:rPr>
                <w:rFonts w:ascii="Arial" w:cs="Arial" w:eastAsia="Arial" w:hAnsi="Arial"/>
                <w:b/>
                <w:bCs/>
                <w:color w:val="1A1A1A"/>
                <w:sz w:val="21"/>
                <w:szCs w:val="21"/>
              </w:rPr>
              <w:t xml:space="preserve">{valorRisco}</w:t>
            </w:r>
          </w:p>
        </w:tc>
      </w:tr>
      <w:tr>
        <w:tc>
          <w:tcPr>
            <w:tcW w:type="dxa" w:w="600"/>
            <w:tcBorders>
              <w:top w:val="single" w:color="CCCCCC" w:sz="1"/>
              <w:left w:val="single" w:color="CCCCCC" w:sz="1"/>
              <w:bottom w:val="single" w:color="CCCCCC" w:sz="1"/>
              <w:right w:val="single" w:color="CCCCCC" w:sz="1"/>
            </w:tcBorders>
            <w:shd w:fill="FFFFFF" w:val="clear"/>
            <w:tcMar>
              <w:top w:type="dxa" w:w="130"/>
              <w:left w:type="dxa" w:w="80"/>
              <w:bottom w:type="dxa" w:w="130"/>
              <w:right w:type="dxa" w:w="80"/>
            </w:tcMar>
            <w:vAlign w:val="center"/>
          </w:tcPr>
          <w:p>
            <w:pPr>
              <w:jc w:val="center"/>
            </w:pPr>
            <w:r>
              <w:rPr>
                <w:rFonts w:ascii="Arial" w:cs="Arial" w:eastAsia="Arial" w:hAnsi="Arial"/>
                <w:b/>
                <w:bCs/>
                <w:color w:val="F26522"/>
                <w:sz w:val="22"/>
                <w:szCs w:val="22"/>
              </w:rPr>
              <w:t xml:space="preserve">02</w:t>
            </w:r>
          </w:p>
        </w:tc>
        <w:tc>
          <w:tcPr>
            <w:tcW w:type="dxa" w:w="5406"/>
            <w:tcBorders>
              <w:top w:val="single" w:color="CCCCCC" w:sz="1"/>
              <w:left w:val="single" w:color="CCCCCC" w:sz="1"/>
              <w:bottom w:val="single" w:color="CCCCCC" w:sz="1"/>
              <w:right w:val="single" w:color="CCCCCC" w:sz="1"/>
            </w:tcBorders>
            <w:shd w:fill="FFFFFF" w:val="clear"/>
            <w:tcMar>
              <w:top w:type="dxa" w:w="130"/>
              <w:left w:type="dxa" w:w="180"/>
              <w:bottom w:type="dxa" w:w="130"/>
              <w:right w:type="dxa" w:w="180"/>
            </w:tcMar>
          </w:tcPr>
          <w:p>
            <w:pPr>
              <w:spacing w:after="0" w:before="0"/>
            </w:pPr>
            <w:r>
              <w:rPr>
                <w:rFonts w:ascii="Arial" w:cs="Arial" w:eastAsia="Arial" w:hAnsi="Arial"/>
                <w:b/>
                <w:bCs/>
                <w:color w:val="1A2F4A"/>
                <w:sz w:val="20"/>
                <w:szCs w:val="20"/>
              </w:rPr>
              <w:t xml:space="preserve">Projeto de SPDA</w:t>
            </w:r>
          </w:p>
          <w:p>
            <w:pPr>
              <w:spacing w:after="0" w:before="20"/>
            </w:pPr>
            <w:r>
              <w:rPr>
                <w:rFonts w:ascii="Arial" w:cs="Arial" w:eastAsia="Arial" w:hAnsi="Arial"/>
                <w:i/>
                <w:iCs/>
                <w:color w:val="666666"/>
                <w:sz w:val="17"/>
                <w:szCs w:val="17"/>
              </w:rPr>
              <w:t xml:space="preserve">Projeto completo conforme ABNT NBR 5419: pranchas DWG/PDF, lista de materiais, memorial descritivo, memorial de cálculo e dimensionamento da malha de aterramento.</w:t>
            </w:r>
          </w:p>
        </w:tc>
        <w:tc>
          <w:tcPr>
            <w:tcW w:type="dxa" w:w="3500"/>
            <w:tcBorders>
              <w:top w:val="single" w:color="CCCCCC" w:sz="1"/>
              <w:left w:val="single" w:color="CCCCCC" w:sz="1"/>
              <w:bottom w:val="single" w:color="CCCCCC" w:sz="1"/>
              <w:right w:val="single" w:color="CCCCCC" w:sz="1"/>
            </w:tcBorders>
            <w:shd w:fill="FFFFFF" w:val="clear"/>
            <w:tcMar>
              <w:top w:type="dxa" w:w="130"/>
              <w:left w:type="dxa" w:w="80"/>
              <w:bottom w:type="dxa" w:w="130"/>
              <w:right w:type="dxa" w:w="160"/>
            </w:tcMar>
            <w:vAlign w:val="center"/>
          </w:tcPr>
          <w:p>
            <w:pPr>
              <w:jc w:val="right"/>
            </w:pPr>
            <w:r>
              <w:rPr>
                <w:rFonts w:ascii="Arial" w:cs="Arial" w:eastAsia="Arial" w:hAnsi="Arial"/>
                <w:b/>
                <w:bCs/>
                <w:color w:val="1A1A1A"/>
                <w:sz w:val="21"/>
                <w:szCs w:val="21"/>
              </w:rPr>
              <w:t xml:space="preserve">{valorProjeto}</w:t>
            </w:r>
          </w:p>
        </w:tc>
      </w:tr>
      <w:tr>
        <w:tc>
          <w:tcPr>
            <w:tcW w:type="dxa" w:w="600"/>
            <w:tcBorders>
              <w:top w:val="single" w:color="CCCCCC" w:sz="1"/>
              <w:left w:val="single" w:color="CCCCCC" w:sz="1"/>
              <w:bottom w:val="single" w:color="CCCCCC" w:sz="1"/>
              <w:right w:val="single" w:color="CCCCCC" w:sz="1"/>
            </w:tcBorders>
            <w:shd w:fill="FEF0E7" w:val="clear"/>
            <w:tcMar>
              <w:top w:type="dxa" w:w="130"/>
              <w:left w:type="dxa" w:w="80"/>
              <w:bottom w:type="dxa" w:w="130"/>
              <w:right w:type="dxa" w:w="80"/>
            </w:tcMar>
            <w:vAlign w:val="center"/>
          </w:tcPr>
          <w:p>
            <w:pPr>
              <w:jc w:val="center"/>
            </w:pPr>
            <w:r>
              <w:rPr>
                <w:rFonts w:ascii="Arial" w:cs="Arial" w:eastAsia="Arial" w:hAnsi="Arial"/>
                <w:b/>
                <w:bCs/>
                <w:color w:val="F26522"/>
                <w:sz w:val="22"/>
                <w:szCs w:val="22"/>
              </w:rPr>
              <w:t xml:space="preserve">03</w:t>
            </w:r>
          </w:p>
        </w:tc>
        <w:tc>
          <w:tcPr>
            <w:tcW w:type="dxa" w:w="5406"/>
            <w:tcBorders>
              <w:top w:val="single" w:color="CCCCCC" w:sz="1"/>
              <w:left w:val="single" w:color="CCCCCC" w:sz="1"/>
              <w:bottom w:val="single" w:color="CCCCCC" w:sz="1"/>
              <w:right w:val="single" w:color="CCCCCC" w:sz="1"/>
            </w:tcBorders>
            <w:shd w:fill="FEF0E7" w:val="clear"/>
            <w:tcMar>
              <w:top w:type="dxa" w:w="130"/>
              <w:left w:type="dxa" w:w="180"/>
              <w:bottom w:type="dxa" w:w="130"/>
              <w:right w:type="dxa" w:w="180"/>
            </w:tcMar>
          </w:tcPr>
          <w:p>
            <w:pPr>
              <w:spacing w:after="0" w:before="0"/>
            </w:pPr>
            <w:r>
              <w:rPr>
                <w:rFonts w:ascii="Arial" w:cs="Arial" w:eastAsia="Arial" w:hAnsi="Arial"/>
                <w:b/>
                <w:bCs/>
                <w:color w:val="1A2F4A"/>
                <w:sz w:val="20"/>
                <w:szCs w:val="20"/>
              </w:rPr>
              <w:t xml:space="preserve">Emissão de ART junto ao CREA/GO + Nota Fiscal de Serviços</w:t>
            </w:r>
          </w:p>
          <w:p>
            <w:pPr>
              <w:spacing w:after="0" w:before="20"/>
            </w:pPr>
            <w:r>
              <w:rPr>
                <w:rFonts w:ascii="Arial" w:cs="Arial" w:eastAsia="Arial" w:hAnsi="Arial"/>
                <w:i/>
                <w:iCs/>
                <w:color w:val="666666"/>
                <w:sz w:val="17"/>
                <w:szCs w:val="17"/>
              </w:rPr>
              <w:t xml:space="preserve">ART de elaboração do Projeto de Gerenciamento de Risco e do Projeto de SPDA. Nota Fiscal emitida pela GTA Energia Ltda.</w:t>
            </w:r>
          </w:p>
        </w:tc>
        <w:tc>
          <w:tcPr>
            <w:tcW w:type="dxa" w:w="3500"/>
            <w:tcBorders>
              <w:top w:val="single" w:color="CCCCCC" w:sz="1"/>
              <w:left w:val="single" w:color="CCCCCC" w:sz="1"/>
              <w:bottom w:val="single" w:color="CCCCCC" w:sz="1"/>
              <w:right w:val="single" w:color="CCCCCC" w:sz="1"/>
            </w:tcBorders>
            <w:shd w:fill="FEF0E7" w:val="clear"/>
            <w:tcMar>
              <w:top w:type="dxa" w:w="130"/>
              <w:left w:type="dxa" w:w="80"/>
              <w:bottom w:type="dxa" w:w="130"/>
              <w:right w:type="dxa" w:w="160"/>
            </w:tcMar>
            <w:vAlign w:val="center"/>
          </w:tcPr>
          <w:p>
            <w:pPr>
              <w:jc w:val="center"/>
            </w:pPr>
            <w:r>
              <w:rPr>
                <w:rFonts w:ascii="Arial" w:cs="Arial" w:eastAsia="Arial" w:hAnsi="Arial"/>
                <w:i/>
                <w:iCs/>
                <w:color w:val="555555"/>
                <w:sz w:val="18"/>
                <w:szCs w:val="18"/>
              </w:rPr>
              <w:t xml:space="preserve">Incluso</w:t>
            </w:r>
          </w:p>
        </w:tc>
      </w:tr>
      <w:tr>
        <w:tc>
          <w:tcPr>
            <w:tcW w:type="dxa" w:w="6006"/>
            <w:gridSpan w:val="2"/>
            <w:tcBorders>
              <w:top w:val="single" w:color="CCCCCC" w:sz="1"/>
              <w:left w:val="single" w:color="CCCCCC" w:sz="1"/>
              <w:bottom w:val="single" w:color="CCCCCC" w:sz="1"/>
              <w:right w:val="single" w:color="CCCCCC" w:sz="1"/>
            </w:tcBorders>
            <w:shd w:fill="1B7A3E" w:val="clear"/>
            <w:tcMar>
              <w:top w:type="dxa" w:w="140"/>
              <w:left w:type="dxa" w:w="180"/>
              <w:bottom w:type="dxa" w:w="140"/>
              <w:right w:type="dxa" w:w="180"/>
            </w:tcMar>
          </w:tcPr>
          <w:p>
            <w:r>
              <w:rPr>
                <w:rFonts w:ascii="Arial" w:cs="Arial" w:eastAsia="Arial" w:hAnsi="Arial"/>
                <w:b/>
                <w:bCs/>
                <w:color w:val="FFFFFF"/>
                <w:sz w:val="26"/>
                <w:szCs w:val="26"/>
              </w:rPr>
              <w:t xml:space="preserve">VALOR TOTAL DO ORÇAMENTO</w:t>
            </w:r>
          </w:p>
        </w:tc>
        <w:tc>
          <w:tcPr>
            <w:tcW w:type="dxa" w:w="3500"/>
            <w:tcBorders>
              <w:top w:val="single" w:color="CCCCCC" w:sz="1"/>
              <w:left w:val="single" w:color="CCCCCC" w:sz="1"/>
              <w:bottom w:val="single" w:color="CCCCCC" w:sz="1"/>
              <w:right w:val="single" w:color="CCCCCC" w:sz="1"/>
            </w:tcBorders>
            <w:shd w:fill="1B7A3E" w:val="clear"/>
            <w:tcMar>
              <w:top w:type="dxa" w:w="140"/>
              <w:left w:type="dxa" w:w="80"/>
              <w:bottom w:type="dxa" w:w="140"/>
              <w:right w:type="dxa" w:w="160"/>
            </w:tcMar>
          </w:tcPr>
          <w:p>
            <w:pPr>
              <w:jc w:val="right"/>
            </w:pPr>
            <w:r>
              <w:rPr>
                <w:rFonts w:ascii="Arial" w:cs="Arial" w:eastAsia="Arial" w:hAnsi="Arial"/>
                <w:b/>
                <w:bCs/>
                <w:color w:val="FFFFFF"/>
                <w:sz w:val="26"/>
                <w:szCs w:val="26"/>
              </w:rPr>
              <w:t xml:space="preserve">{valorTotal}</w:t>
            </w:r>
          </w:p>
        </w:tc>
      </w:tr>
    </w:tbl>
    <w:p>
      <w:pPr>
        <w:spacing w:after="0" w:before="80"/>
      </w:pPr>
    </w:p>
    <w:p>
      <w:pPr>
        <w:shd w:fill="EDEAFC" w:val="clear"/>
        <w:spacing w:after="60" w:before="60"/>
        <w:ind w:left="120" w:right="120"/>
      </w:pPr>
      <w:r>
        <w:rPr>
          <w:rFonts w:ascii="Arial" w:cs="Arial" w:eastAsia="Arial" w:hAnsi="Arial"/>
          <w:b/>
          <w:bCs/>
          <w:color w:val="5B4FCF"/>
          <w:sz w:val="18"/>
          <w:szCs w:val="18"/>
        </w:rPr>
        <w:t xml:space="preserve">  Valor por extenso: </w:t>
      </w:r>
      <w:r>
        <w:rPr>
          <w:rFonts w:ascii="Arial" w:cs="Arial" w:eastAsia="Arial" w:hAnsi="Arial"/>
          <w:color w:val="1A1A1A"/>
          <w:sz w:val="18"/>
          <w:szCs w:val="18"/>
        </w:rPr>
        <w:t xml:space="preserve">{valorTotalExtenso}</w:t>
      </w:r>
    </w:p>
    <w:p>
      <w:pPr>
        <w:spacing w:after="0" w:before="120"/>
      </w:pPr>
    </w:p>
    <w:p>
      <w:pPr>
        <w:pBdr>
          <w:left w:val="single" w:color="F26522" w:sz="18" w:space="8"/>
        </w:pBdr>
        <w:spacing w:after="40" w:before="160"/>
        <w:ind w:left="160"/>
      </w:pPr>
      <w:r>
        <w:rPr>
          <w:rFonts w:ascii="Arial" w:cs="Arial" w:eastAsia="Arial" w:hAnsi="Arial"/>
          <w:b/>
          <w:bCs/>
          <w:color w:val="1A2F4A"/>
          <w:sz w:val="22"/>
          <w:szCs w:val="22"/>
        </w:rPr>
        <w:t xml:space="preserve">4.2  Condições de Pagamento</w:t>
      </w:r>
    </w:p>
    <w:p>
      <w:pPr>
        <w:spacing w:after="80" w:before="80"/>
        <w:jc w:val="both"/>
      </w:pPr>
      <w:r>
        <w:rPr>
          <w:rFonts w:ascii="Arial" w:cs="Arial" w:eastAsia="Arial" w:hAnsi="Arial"/>
          <w:b w:val="false"/>
          <w:bCs w:val="false"/>
          <w:color w:val="1A1A1A"/>
          <w:sz w:val="20"/>
          <w:szCs w:val="20"/>
        </w:rPr>
        <w:t xml:space="preserve">As condições de pagamento serão definidas de comum acordo entre as partes e formalizadas no Contrato de Prestação de Serviços. Sugerimos como referência:</w:t>
      </w:r>
    </w:p>
    <w:p>
      <w:r>
        <w:t>{#pagamentos}</w:t>
      </w:r>
    </w:p>
    <w:p>
      <w:pPr>
        <w:pStyle w:val="ListParagraph"/>
        <w:numPr>
          <w:ilvl w:val="0"/>
          <w:numId w:val="2"/>
        </w:numPr>
        <w:spacing w:after="55" w:before="55"/>
        <w:ind w:left="480" w:hanging="300"/>
      </w:pPr>
      <w:r>
        <w:rPr>
          <w:rFonts w:ascii="Arial" w:cs="Arial" w:eastAsia="Arial" w:hAnsi="Arial"/>
          <w:color w:val="1A1A1A"/>
          <w:sz w:val="20"/>
          <w:szCs w:val="20"/>
        </w:rPr>
        <w:t xml:space="preserve">{linha}</w:t>
      </w:r>
    </w:p>
    <w:p>
      <w:r>
        <w:t>{/pagamentos}</w:t>
      </w:r>
    </w:p>
    <w:p>
      <w:pPr>
        <w:spacing w:after="0" w:before="60"/>
      </w:pPr>
    </w:p>
    <w:p>
      <w:pPr>
        <w:pStyle w:val="ListParagraph"/>
        <w:numPr>
          <w:ilvl w:val="0"/>
          <w:numId w:val="2"/>
        </w:numPr>
        <w:spacing w:after="55" w:before="55"/>
        <w:ind w:left="480" w:hanging="300"/>
      </w:pPr>
      <w:r>
        <w:rPr>
          <w:rFonts w:ascii="Arial" w:cs="Arial" w:eastAsia="Arial" w:hAnsi="Arial"/>
          <w:color w:val="1A1A1A"/>
          <w:sz w:val="20"/>
          <w:szCs w:val="20"/>
        </w:rPr>
        <w:t xml:space="preserve">Formas de pagamento aceitas: PIX, TED ou depósito bancário.</w:t>
      </w:r>
    </w:p>
    <w:p>
      <w:pPr>
        <w:spacing w:after="0" w:before="280"/>
      </w:pPr>
    </w:p>
    <w:p>
      <w:pPr>
        <w:shd w:fill="F26522" w:val="clear"/>
        <w:spacing w:after="0" w:before="0"/>
      </w:pPr>
      <w:r>
        <w:rPr>
          <w:rFonts w:ascii="Arial" w:cs="Arial" w:eastAsia="Arial" w:hAnsi="Arial"/>
          <w:b/>
          <w:bCs/>
          <w:color w:val="FFFFFF"/>
          <w:sz w:val="24"/>
          <w:szCs w:val="24"/>
        </w:rPr>
        <w:t xml:space="preserve">  5   PRAZO DE ENTREGA</w:t>
      </w:r>
    </w:p>
    <w:p>
      <w:pPr>
        <w:shd w:fill="5B4FCF" w:val="clear"/>
        <w:spacing w:after="0" w:before="0"/>
      </w:pPr>
      <w:r>
        <w:rPr>
          <w:color w:val="5B4FCF"/>
          <w:sz w:val="4"/>
          <w:szCs w:val="4"/>
        </w:rPr>
        <w:t xml:space="preserve"> </w:t>
      </w:r>
    </w:p>
    <w:p>
      <w:pPr>
        <w:spacing w:after="0" w:before="80"/>
      </w:pPr>
    </w:p>
    <w:p>
      <w:pPr>
        <w:spacing w:after="80" w:before="80"/>
        <w:jc w:val="both"/>
      </w:pPr>
      <w:r>
        <w:rPr>
          <w:rFonts w:ascii="Arial" w:cs="Arial" w:eastAsia="Arial" w:hAnsi="Arial"/>
          <w:b w:val="false"/>
          <w:bCs w:val="false"/>
          <w:color w:val="1A1A1A"/>
          <w:sz w:val="20"/>
          <w:szCs w:val="20"/>
        </w:rPr>
        <w:t xml:space="preserve">{textoPrazo}</w:t>
      </w:r>
    </w:p>
    <w:p>
      <w:pPr>
        <w:spacing w:after="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2200"/>
        <w:gridCol w:w="1800"/>
      </w:tblGrid>
      <w:tr>
        <w:tc>
          <w:tcPr>
            <w:tcW w:type="dxa" w:w="5506"/>
            <w:tcBorders>
              <w:top w:val="single" w:color="CCCCCC" w:sz="1"/>
              <w:left w:val="single" w:color="CCCCCC" w:sz="1"/>
              <w:bottom w:val="single" w:color="CCCCCC" w:sz="1"/>
              <w:right w:val="single" w:color="CCCCCC" w:sz="1"/>
            </w:tcBorders>
            <w:shd w:fill="1A2F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ETAPA</w:t>
            </w:r>
          </w:p>
        </w:tc>
        <w:tc>
          <w:tcPr>
            <w:tcW w:type="dxa" w:w="2200"/>
            <w:tcBorders>
              <w:top w:val="single" w:color="CCCCCC" w:sz="1"/>
              <w:left w:val="single" w:color="CCCCCC" w:sz="1"/>
              <w:bottom w:val="single" w:color="CCCCCC" w:sz="1"/>
              <w:right w:val="single" w:color="CCCCCC" w:sz="1"/>
            </w:tcBorders>
            <w:shd w:fill="1A2F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PRAZO</w:t>
            </w:r>
          </w:p>
        </w:tc>
        <w:tc>
          <w:tcPr>
            <w:tcW w:type="dxa" w:w="1800"/>
            <w:tcBorders>
              <w:top w:val="single" w:color="CCCCCC" w:sz="1"/>
              <w:left w:val="single" w:color="CCCCCC" w:sz="1"/>
              <w:bottom w:val="single" w:color="CCCCCC" w:sz="1"/>
              <w:right w:val="single" w:color="CCCCCC" w:sz="1"/>
            </w:tcBorders>
            <w:shd w:fill="1A2F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RESPONSÁVEL</w:t>
            </w:r>
          </w:p>
        </w:tc>
      </w:tr>
      <w:tr>
        <w:tc>
          <w:tcPr>
            <w:tcW w:type="dxa" w:w="5506"/>
            <w:tcBorders>
              <w:top w:val="single" w:color="CCCCCC" w:sz="1"/>
              <w:left w:val="single" w:color="CCCCCC" w:sz="1"/>
              <w:bottom w:val="single" w:color="CCCCCC" w:sz="1"/>
              <w:right w:val="single" w:color="CCCCCC" w:sz="1"/>
            </w:tcBorders>
            <w:shd w:fill="F5F6F8" w:val="clear"/>
            <w:tcMar>
              <w:top w:type="dxa" w:w="88"/>
              <w:left w:type="dxa" w:w="140"/>
              <w:bottom w:type="dxa" w:w="88"/>
              <w:right w:type="dxa" w:w="140"/>
            </w:tcMar>
          </w:tcPr>
          <w:p>
            <w:pPr>
              <w:jc w:val="left"/>
            </w:pPr>
            <w:r>
              <w:rPr>
                <w:rFonts w:ascii="Arial" w:cs="Arial" w:eastAsia="Arial" w:hAnsi="Arial"/>
                <w:b w:val="false"/>
                <w:bCs w:val="false"/>
                <w:color w:val="1A1A1A"/>
                <w:sz w:val="18"/>
                <w:szCs w:val="18"/>
              </w:rPr>
              <w:t xml:space="preserve">{#cronograma}{etapa}</w:t>
            </w:r>
          </w:p>
        </w:tc>
        <w:tc>
          <w:tcPr>
            <w:tcW w:type="dxa" w:w="2200"/>
            <w:tcBorders>
              <w:top w:val="single" w:color="CCCCCC" w:sz="1"/>
              <w:left w:val="single" w:color="CCCCCC" w:sz="1"/>
              <w:bottom w:val="single" w:color="CCCCCC" w:sz="1"/>
              <w:right w:val="single" w:color="CCCCCC" w:sz="1"/>
            </w:tcBorders>
            <w:shd w:fill="F5F6F8" w:val="clear"/>
            <w:tcMar>
              <w:top w:type="dxa" w:w="88"/>
              <w:left w:type="dxa" w:w="140"/>
              <w:bottom w:type="dxa" w:w="88"/>
              <w:right w:type="dxa" w:w="140"/>
            </w:tcMar>
          </w:tcPr>
          <w:p>
            <w:pPr>
              <w:jc w:val="center"/>
            </w:pPr>
            <w:r>
              <w:rPr>
                <w:rFonts w:ascii="Arial" w:cs="Arial" w:eastAsia="Arial" w:hAnsi="Arial"/>
                <w:b/>
                <w:bCs/>
                <w:color w:val="5B4FCF"/>
                <w:sz w:val="18"/>
                <w:szCs w:val="18"/>
              </w:rPr>
              <w:t xml:space="preserve">{prazo}</w:t>
            </w:r>
          </w:p>
        </w:tc>
        <w:tc>
          <w:tcPr>
            <w:tcW w:type="dxa" w:w="1800"/>
            <w:tcBorders>
              <w:top w:val="single" w:color="CCCCCC" w:sz="1"/>
              <w:left w:val="single" w:color="CCCCCC" w:sz="1"/>
              <w:bottom w:val="single" w:color="CCCCCC" w:sz="1"/>
              <w:right w:val="single" w:color="CCCCCC" w:sz="1"/>
            </w:tcBorders>
            <w:shd w:fill="F5F6F8" w:val="clear"/>
            <w:tcMar>
              <w:top w:type="dxa" w:w="88"/>
              <w:left w:type="dxa" w:w="140"/>
              <w:bottom w:type="dxa" w:w="88"/>
              <w:right w:type="dxa" w:w="140"/>
            </w:tcMar>
          </w:tcPr>
          <w:p>
            <w:pPr>
              <w:jc w:val="center"/>
            </w:pPr>
            <w:r>
              <w:rPr>
                <w:rFonts w:ascii="Arial" w:cs="Arial" w:eastAsia="Arial" w:hAnsi="Arial"/>
                <w:b w:val="false"/>
                <w:bCs w:val="false"/>
                <w:color w:val="1A1A1A"/>
                <w:sz w:val="18"/>
                <w:szCs w:val="18"/>
              </w:rPr>
              <w:t xml:space="preserve">{responsavel}{/cronograma}</w:t>
            </w:r>
          </w:p>
        </w:tc>
      </w:tr>
      <w:tr>
        <w:tc>
          <w:tcPr>
            <w:tcW w:type="dxa" w:w="7706"/>
            <w:gridSpan w:val="2"/>
            <w:tcBorders>
              <w:top w:val="single" w:color="CCCCCC" w:sz="1"/>
              <w:left w:val="single" w:color="CCCCCC" w:sz="1"/>
              <w:bottom w:val="single" w:color="CCCCCC" w:sz="1"/>
              <w:right w:val="single" w:color="CCCCCC" w:sz="1"/>
            </w:tcBorders>
            <w:shd w:fill="F26522" w:val="clear"/>
            <w:tcMar>
              <w:top w:type="dxa" w:w="110"/>
              <w:left w:type="dxa" w:w="140"/>
              <w:bottom w:type="dxa" w:w="110"/>
              <w:right w:type="dxa" w:w="140"/>
            </w:tcMar>
          </w:tcPr>
          <w:p>
            <w:r>
              <w:rPr>
                <w:rFonts w:ascii="Arial" w:cs="Arial" w:eastAsia="Arial" w:hAnsi="Arial"/>
                <w:b/>
                <w:bCs/>
                <w:color w:val="FFFFFF"/>
                <w:sz w:val="20"/>
                <w:szCs w:val="20"/>
              </w:rPr>
              <w:t xml:space="preserve">PRAZO TOTAL ESTIMADO (aprovação à entrega dos documentos)</w:t>
            </w:r>
          </w:p>
        </w:tc>
        <w:tc>
          <w:tcPr>
            <w:tcW w:type="dxa" w:w="1800"/>
            <w:tcBorders>
              <w:top w:val="single" w:color="CCCCCC" w:sz="1"/>
              <w:left w:val="single" w:color="CCCCCC" w:sz="1"/>
              <w:bottom w:val="single" w:color="CCCCCC" w:sz="1"/>
              <w:right w:val="single" w:color="CCCCCC" w:sz="1"/>
            </w:tcBorders>
            <w:shd w:fill="F26522" w:val="clear"/>
            <w:tcMar>
              <w:top w:type="dxa" w:w="110"/>
              <w:left w:type="dxa" w:w="80"/>
              <w:bottom w:type="dxa" w:w="110"/>
              <w:right w:type="dxa" w:w="80"/>
            </w:tcMar>
          </w:tcPr>
          <w:p>
            <w:pPr>
              <w:jc w:val="center"/>
            </w:pPr>
            <w:r>
              <w:rPr>
                <w:rFonts w:ascii="Arial" w:cs="Arial" w:eastAsia="Arial" w:hAnsi="Arial"/>
                <w:b/>
                <w:bCs/>
                <w:color w:val="FFFFFF"/>
                <w:sz w:val="20"/>
                <w:szCs w:val="20"/>
              </w:rPr>
              <w:t xml:space="preserve">{prazoTotal}</w:t>
            </w:r>
          </w:p>
        </w:tc>
      </w:tr>
    </w:tbl>
    <w:p>
      <w:pPr>
        <w:spacing w:after="0" w:before="280"/>
      </w:pPr>
    </w:p>
    <w:p>
      <w:pPr>
        <w:shd w:fill="F26522" w:val="clear"/>
        <w:spacing w:after="0" w:before="0"/>
      </w:pPr>
      <w:r>
        <w:rPr>
          <w:rFonts w:ascii="Arial" w:cs="Arial" w:eastAsia="Arial" w:hAnsi="Arial"/>
          <w:b/>
          <w:bCs/>
          <w:color w:val="FFFFFF"/>
          <w:sz w:val="24"/>
          <w:szCs w:val="24"/>
        </w:rPr>
        <w:t xml:space="preserve">  6   NORMAS TÉCNICAS APLICÁVEIS</w:t>
      </w:r>
    </w:p>
    <w:p>
      <w:pPr>
        <w:shd w:fill="5B4FCF" w:val="clear"/>
        <w:spacing w:after="0" w:before="0"/>
      </w:pPr>
      <w:r>
        <w:rPr>
          <w:color w:val="5B4FCF"/>
          <w:sz w:val="4"/>
          <w:szCs w:val="4"/>
        </w:rPr>
        <w:t xml:space="preserve"> </w:t>
      </w:r>
    </w:p>
    <w:p>
      <w:pPr>
        <w:spacing w:after="0" w:before="80"/>
      </w:pPr>
    </w:p>
    <w:p>
      <w:pPr>
        <w:pStyle w:val="ListParagraph"/>
        <w:numPr>
          <w:ilvl w:val="0"/>
          <w:numId w:val="2"/>
        </w:numPr>
        <w:spacing w:after="55" w:before="55"/>
        <w:ind w:left="480" w:hanging="300"/>
      </w:pPr>
      <w:r>
        <w:rPr>
          <w:rFonts w:ascii="Arial" w:cs="Arial" w:eastAsia="Arial" w:hAnsi="Arial"/>
          <w:color w:val="1A1A1A"/>
          <w:sz w:val="20"/>
          <w:szCs w:val="20"/>
        </w:rPr>
        <w:t xml:space="preserve">ABNT NBR 5419 — Proteção contra Descargas Atmosféricas (SPDA): norma base para a elaboração tanto do Projeto de Análise de Gerenciamento de Risco quanto do Projeto de SPDA;</w:t>
      </w:r>
    </w:p>
    <w:p>
      <w:pPr>
        <w:pStyle w:val="ListParagraph"/>
        <w:numPr>
          <w:ilvl w:val="0"/>
          <w:numId w:val="2"/>
        </w:numPr>
        <w:spacing w:after="55" w:before="55"/>
        <w:ind w:left="480" w:hanging="300"/>
      </w:pPr>
      <w:r>
        <w:rPr>
          <w:rFonts w:ascii="Arial" w:cs="Arial" w:eastAsia="Arial" w:hAnsi="Arial"/>
          <w:color w:val="1A1A1A"/>
          <w:sz w:val="20"/>
          <w:szCs w:val="20"/>
        </w:rPr>
        <w:t xml:space="preserve">NR-10 — Segurança em Instalações e Serviços em Eletricidade;</w:t>
      </w:r>
    </w:p>
    <w:p>
      <w:pPr>
        <w:pStyle w:val="ListParagraph"/>
        <w:numPr>
          <w:ilvl w:val="0"/>
          <w:numId w:val="2"/>
        </w:numPr>
        <w:spacing w:after="55" w:before="55"/>
        <w:ind w:left="480" w:hanging="300"/>
      </w:pPr>
      <w:r>
        <w:rPr>
          <w:rFonts w:ascii="Arial" w:cs="Arial" w:eastAsia="Arial" w:hAnsi="Arial"/>
          <w:color w:val="1A1A1A"/>
          <w:sz w:val="20"/>
          <w:szCs w:val="20"/>
        </w:rPr>
        <w:t xml:space="preserve">Resolução CFE nº 218/1973 e Lei nº 5.194/1966 — Responsabilidade Técnica e ART.</w:t>
      </w:r>
    </w:p>
    <w:p>
      <w:pPr>
        <w:spacing w:after="0" w:before="280"/>
      </w:pPr>
    </w:p>
    <w:p>
      <w:pPr>
        <w:shd w:fill="F26522" w:val="clear"/>
        <w:spacing w:after="0" w:before="0"/>
      </w:pPr>
      <w:r>
        <w:rPr>
          <w:rFonts w:ascii="Arial" w:cs="Arial" w:eastAsia="Arial" w:hAnsi="Arial"/>
          <w:b/>
          <w:bCs/>
          <w:color w:val="FFFFFF"/>
          <w:sz w:val="24"/>
          <w:szCs w:val="24"/>
        </w:rPr>
        <w:t xml:space="preserve">  7   RESPONSABILIDADE TÉCNICA</w:t>
      </w:r>
    </w:p>
    <w:p>
      <w:pPr>
        <w:shd w:fill="5B4FCF" w:val="clear"/>
        <w:spacing w:after="0" w:before="0"/>
      </w:pPr>
      <w:r>
        <w:rPr>
          <w:color w:val="5B4FCF"/>
          <w:sz w:val="4"/>
          <w:szCs w:val="4"/>
        </w:rPr>
        <w:t xml:space="preserve"> </w:t>
      </w:r>
    </w:p>
    <w:p>
      <w:pPr>
        <w:spacing w:after="0" w:before="80"/>
      </w:pPr>
    </w:p>
    <w:p>
      <w:pPr>
        <w:spacing w:after="80" w:before="80"/>
        <w:jc w:val="both"/>
      </w:pPr>
      <w:r>
        <w:rPr>
          <w:rFonts w:ascii="Arial" w:cs="Arial" w:eastAsia="Arial" w:hAnsi="Arial"/>
          <w:b w:val="false"/>
          <w:bCs w:val="false"/>
          <w:color w:val="1A1A1A"/>
          <w:sz w:val="20"/>
          <w:szCs w:val="20"/>
        </w:rPr>
        <w:t xml:space="preserve">Todos os projetos, análises e documentos serão elaborados e assinados por Engenheiro Eletricista com registro ativo no CREA/GO, habilitado para as atribuições pertinentes à elaboração de projetos de SPDA e análise de gerenciamento de risco, nos termos da Resolução CFE nº 218/1973 e do Art. 7º da Lei nº 5.194/1966.</w:t>
      </w:r>
    </w:p>
    <w:p>
      <w:pPr>
        <w:spacing w:after="80" w:before="80"/>
        <w:jc w:val="both"/>
      </w:pPr>
      <w:r>
        <w:rPr>
          <w:rFonts w:ascii="Arial" w:cs="Arial" w:eastAsia="Arial" w:hAnsi="Arial"/>
          <w:b w:val="false"/>
          <w:bCs w:val="false"/>
          <w:color w:val="1A1A1A"/>
          <w:sz w:val="20"/>
          <w:szCs w:val="20"/>
        </w:rPr>
        <w:t xml:space="preserve">Serão emitidas ARTs junto ao CREA/GO em conformidade com a Resolução CONFEA nº 1.025/2009 e a Lei nº 6.496/1977, abrangendo a elaboração do Projeto de Análise de Gerenciamento de Risco e do Projeto de SPDA.</w:t>
      </w:r>
    </w:p>
    <w:p>
      <w:pPr>
        <w:pStyle w:val="ListParagraph"/>
        <w:numPr>
          <w:ilvl w:val="0"/>
          <w:numId w:val="2"/>
        </w:numPr>
        <w:spacing w:after="55" w:before="55"/>
        <w:ind w:left="480" w:hanging="300"/>
      </w:pPr>
      <w:r>
        <w:rPr>
          <w:rFonts w:ascii="Arial" w:cs="Arial" w:eastAsia="Arial" w:hAnsi="Arial"/>
          <w:color w:val="1A1A1A"/>
          <w:sz w:val="20"/>
          <w:szCs w:val="20"/>
        </w:rPr>
        <w:t xml:space="preserve">Responsável Técnico: Gabriel Martins Santos — Engenheiro Eletricista — CREA/GO (registro ativo).</w:t>
      </w:r>
    </w:p>
    <w:p>
      <w:pPr>
        <w:spacing w:after="0" w:before="280"/>
      </w:pPr>
    </w:p>
    <w:p>
      <w:pPr>
        <w:shd w:fill="F26522" w:val="clear"/>
        <w:spacing w:after="0" w:before="0"/>
      </w:pPr>
      <w:r>
        <w:rPr>
          <w:rFonts w:ascii="Arial" w:cs="Arial" w:eastAsia="Arial" w:hAnsi="Arial"/>
          <w:b/>
          <w:bCs/>
          <w:color w:val="FFFFFF"/>
          <w:sz w:val="24"/>
          <w:szCs w:val="24"/>
        </w:rPr>
        <w:t xml:space="preserve">  8   DADOS DA CONTRATADA</w:t>
      </w:r>
    </w:p>
    <w:p>
      <w:pPr>
        <w:shd w:fill="5B4FCF" w:val="clear"/>
        <w:spacing w:after="0" w:before="0"/>
      </w:pPr>
      <w:r>
        <w:rPr>
          <w:color w:val="5B4FCF"/>
          <w:sz w:val="4"/>
          <w:szCs w:val="4"/>
        </w:rPr>
        <w:t xml:space="preserve">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RAZÃO SOCIAL</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GTA ENERGIA LTDA</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CNPJ</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59.214.861/0001-15</w:t>
            </w:r>
          </w:p>
        </w:tc>
      </w:tr>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ENGENHEIRO RESPONSÁVEL</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Gabriel Martins Santos</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E-MAIL</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contato@gtaenergia.com</w:t>
            </w:r>
          </w:p>
        </w:tc>
      </w:tr>
      <w:tr>
        <w:tc>
          <w:tcPr>
            <w:tcW w:type="dxa" w:w="3200"/>
            <w:tcBorders>
              <w:top w:val="single" w:color="CCCCCC" w:sz="1"/>
              <w:left w:val="single" w:color="CCCCCC" w:sz="1"/>
              <w:bottom w:val="single" w:color="CCCCCC" w:sz="1"/>
              <w:right w:val="single" w:color="CCCCCC" w:sz="1"/>
            </w:tcBorders>
            <w:shd w:fill="1A2F4A" w:val="clear"/>
            <w:tcMar>
              <w:top w:type="dxa" w:w="110"/>
              <w:left w:type="dxa" w:w="180"/>
              <w:bottom w:type="dxa" w:w="110"/>
              <w:right w:type="dxa" w:w="180"/>
            </w:tcMar>
          </w:tcPr>
          <w:p>
            <w:r>
              <w:rPr>
                <w:rFonts w:ascii="Arial" w:cs="Arial" w:eastAsia="Arial" w:hAnsi="Arial"/>
                <w:b/>
                <w:bCs/>
                <w:color w:val="FFFFFF"/>
                <w:sz w:val="20"/>
                <w:szCs w:val="20"/>
              </w:rPr>
              <w:t xml:space="preserve">TELEFONE / WHATSAPP</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(62) 9 9457-1802</w:t>
            </w:r>
          </w:p>
        </w:tc>
      </w:tr>
      <w:tr>
        <w:tc>
          <w:tcPr>
            <w:tcW w:type="dxa" w:w="3200"/>
            <w:tcBorders>
              <w:top w:val="single" w:color="CCCCCC" w:sz="1"/>
              <w:left w:val="single" w:color="CCCCCC" w:sz="1"/>
              <w:bottom w:val="single" w:color="CCCCCC" w:sz="1"/>
              <w:right w:val="single" w:color="CCCCCC" w:sz="1"/>
            </w:tcBorders>
            <w:shd w:fill="243555" w:val="clear"/>
            <w:tcMar>
              <w:top w:type="dxa" w:w="110"/>
              <w:left w:type="dxa" w:w="180"/>
              <w:bottom w:type="dxa" w:w="110"/>
              <w:right w:type="dxa" w:w="180"/>
            </w:tcMar>
          </w:tcPr>
          <w:p>
            <w:r>
              <w:rPr>
                <w:rFonts w:ascii="Arial" w:cs="Arial" w:eastAsia="Arial" w:hAnsi="Arial"/>
                <w:b/>
                <w:bCs/>
                <w:color w:val="FFFFFF"/>
                <w:sz w:val="20"/>
                <w:szCs w:val="20"/>
              </w:rPr>
              <w:t xml:space="preserve">CIDADE / ESTADO</w:t>
            </w:r>
          </w:p>
        </w:tc>
        <w:tc>
          <w:tcPr>
            <w:tcW w:type="dxa" w:w="6306"/>
            <w:tcBorders>
              <w:top w:val="single" w:color="CCCCCC" w:sz="1"/>
              <w:left w:val="single" w:color="CCCCCC" w:sz="1"/>
              <w:bottom w:val="single" w:color="CCCCCC" w:sz="1"/>
              <w:right w:val="single" w:color="CCCCCC" w:sz="1"/>
            </w:tcBorders>
            <w:tcMar>
              <w:top w:type="dxa" w:w="110"/>
              <w:left w:type="dxa" w:w="180"/>
              <w:bottom w:type="dxa" w:w="110"/>
              <w:right w:type="dxa" w:w="180"/>
            </w:tcMar>
          </w:tcPr>
          <w:p>
            <w:r>
              <w:rPr>
                <w:rFonts w:ascii="Arial" w:cs="Arial" w:eastAsia="Arial" w:hAnsi="Arial"/>
                <w:color w:val="1A1A1A"/>
                <w:sz w:val="20"/>
                <w:szCs w:val="20"/>
              </w:rPr>
              <w:t xml:space="preserve">Goiânia/GO</w:t>
            </w:r>
          </w:p>
        </w:tc>
      </w:tr>
    </w:tbl>
    <w:p>
      <w:pPr>
        <w:spacing w:after="0" w:before="280"/>
      </w:pPr>
    </w:p>
    <w:p>
      <w:pPr>
        <w:shd w:fill="F26522" w:val="clear"/>
        <w:spacing w:after="0" w:before="0"/>
      </w:pPr>
      <w:r>
        <w:rPr>
          <w:rFonts w:ascii="Arial" w:cs="Arial" w:eastAsia="Arial" w:hAnsi="Arial"/>
          <w:b/>
          <w:bCs/>
          <w:color w:val="FFFFFF"/>
          <w:sz w:val="24"/>
          <w:szCs w:val="24"/>
        </w:rPr>
        <w:t xml:space="preserve">  9   CONDIÇÕES GERAIS</w:t>
      </w:r>
    </w:p>
    <w:p>
      <w:pPr>
        <w:shd w:fill="5B4FCF" w:val="clear"/>
        <w:spacing w:after="0" w:before="0"/>
      </w:pPr>
      <w:r>
        <w:rPr>
          <w:color w:val="5B4FCF"/>
          <w:sz w:val="4"/>
          <w:szCs w:val="4"/>
        </w:rPr>
        <w:t xml:space="preserve"> </w:t>
      </w:r>
    </w:p>
    <w:p>
      <w:pPr>
        <w:spacing w:after="0" w:before="80"/>
      </w:pPr>
    </w:p>
    <w:p>
      <w:pPr>
        <w:pStyle w:val="ListParagraph"/>
        <w:numPr>
          <w:ilvl w:val="0"/>
          <w:numId w:val="2"/>
        </w:numPr>
        <w:spacing w:after="55" w:before="55"/>
        <w:ind w:left="480" w:hanging="300"/>
      </w:pPr>
      <w:r>
        <w:rPr>
          <w:rFonts w:ascii="Arial" w:cs="Arial" w:eastAsia="Arial" w:hAnsi="Arial"/>
          <w:color w:val="1A1A1A"/>
          <w:sz w:val="20"/>
          <w:szCs w:val="20"/>
        </w:rPr>
        <w:t xml:space="preserve">Este orçamento tem validade de {validadePorExtenso} dias corridos a partir de sua data de emissão;</w:t>
      </w:r>
    </w:p>
    <w:p>
      <w:pPr>
        <w:pStyle w:val="ListParagraph"/>
        <w:numPr>
          <w:ilvl w:val="0"/>
          <w:numId w:val="2"/>
        </w:numPr>
        <w:spacing w:after="55" w:before="55"/>
        <w:ind w:left="480" w:hanging="300"/>
      </w:pPr>
      <w:r>
        <w:rPr>
          <w:rFonts w:ascii="Arial" w:cs="Arial" w:eastAsia="Arial" w:hAnsi="Arial"/>
          <w:color w:val="1A1A1A"/>
          <w:sz w:val="20"/>
          <w:szCs w:val="20"/>
        </w:rPr>
        <w:t xml:space="preserve">A aprovação implica a assinatura de Contrato de Prestação de Serviços a ser fornecido pela Contratada;</w:t>
      </w:r>
    </w:p>
    <w:p>
      <w:pPr>
        <w:pStyle w:val="ListParagraph"/>
        <w:numPr>
          <w:ilvl w:val="0"/>
          <w:numId w:val="2"/>
        </w:numPr>
        <w:spacing w:after="55" w:before="55"/>
        <w:ind w:left="480" w:hanging="300"/>
      </w:pPr>
      <w:r>
        <w:rPr>
          <w:rFonts w:ascii="Arial" w:cs="Arial" w:eastAsia="Arial" w:hAnsi="Arial"/>
          <w:color w:val="1A1A1A"/>
          <w:sz w:val="20"/>
          <w:szCs w:val="20"/>
        </w:rPr>
        <w:t xml:space="preserve">Os documentos técnicos entregues são de uso exclusivo do cliente para os fins contratados;</w:t>
      </w:r>
    </w:p>
    <w:p>
      <w:pPr>
        <w:pStyle w:val="ListParagraph"/>
        <w:numPr>
          <w:ilvl w:val="0"/>
          <w:numId w:val="2"/>
        </w:numPr>
        <w:spacing w:after="55" w:before="55"/>
        <w:ind w:left="480" w:hanging="300"/>
      </w:pPr>
      <w:r>
        <w:rPr>
          <w:rFonts w:ascii="Arial" w:cs="Arial" w:eastAsia="Arial" w:hAnsi="Arial"/>
          <w:color w:val="1A1A1A"/>
          <w:sz w:val="20"/>
          <w:szCs w:val="20"/>
        </w:rPr>
        <w:t xml:space="preserve">A execução do SPDA não está inclusa neste orçamento — após a entrega dos projetos, a GTA Energia poderá apresentar proposta complementar para a instalação;</w:t>
      </w:r>
    </w:p>
    <w:p>
      <w:pPr>
        <w:pStyle w:val="ListParagraph"/>
        <w:numPr>
          <w:ilvl w:val="0"/>
          <w:numId w:val="2"/>
        </w:numPr>
        <w:spacing w:after="55" w:before="55"/>
        <w:ind w:left="480" w:hanging="300"/>
      </w:pPr>
      <w:r>
        <w:rPr>
          <w:rFonts w:ascii="Arial" w:cs="Arial" w:eastAsia="Arial" w:hAnsi="Arial"/>
          <w:color w:val="1A1A1A"/>
          <w:sz w:val="20"/>
          <w:szCs w:val="20"/>
        </w:rPr>
        <w:t xml:space="preserve">Taxa de emolumentos do CREA/GO referente às ARTs é de responsabilidade do cliente;</w:t>
      </w:r>
    </w:p>
    <w:p>
      <w:pPr>
        <w:pStyle w:val="ListParagraph"/>
        <w:numPr>
          <w:ilvl w:val="0"/>
          <w:numId w:val="2"/>
        </w:numPr>
        <w:spacing w:after="55" w:before="55"/>
        <w:ind w:left="480" w:hanging="300"/>
      </w:pPr>
      <w:r>
        <w:rPr>
          <w:rFonts w:ascii="Arial" w:cs="Arial" w:eastAsia="Arial" w:hAnsi="Arial"/>
          <w:color w:val="1A1A1A"/>
          <w:sz w:val="20"/>
          <w:szCs w:val="20"/>
        </w:rPr>
        <w:t xml:space="preserve">Fica eleito o foro da Comarca de Goiânia/GO para dirimir quaisquer litígios decorrentes deste orçamento.</w:t>
      </w:r>
    </w:p>
    <w:p>
      <w:pPr>
        <w:spacing w:after="0" w:before="280"/>
      </w:pPr>
    </w:p>
    <w:p>
      <w:pPr>
        <w:shd w:fill="F26522" w:val="clear"/>
        <w:spacing w:after="0" w:before="0"/>
      </w:pPr>
      <w:r>
        <w:rPr>
          <w:rFonts w:ascii="Arial" w:cs="Arial" w:eastAsia="Arial" w:hAnsi="Arial"/>
          <w:b/>
          <w:bCs/>
          <w:color w:val="FFFFFF"/>
          <w:sz w:val="24"/>
          <w:szCs w:val="24"/>
        </w:rPr>
        <w:t xml:space="preserve">  10   ACEITE DO ORÇAMENTO</w:t>
      </w:r>
    </w:p>
    <w:p>
      <w:pPr>
        <w:shd w:fill="5B4FCF" w:val="clear"/>
        <w:spacing w:after="0" w:before="0"/>
      </w:pPr>
      <w:r>
        <w:rPr>
          <w:color w:val="5B4FCF"/>
          <w:sz w:val="4"/>
          <w:szCs w:val="4"/>
        </w:rPr>
        <w:t xml:space="preserve"> </w:t>
      </w:r>
    </w:p>
    <w:p>
      <w:pPr>
        <w:spacing w:after="0" w:before="80"/>
      </w:pPr>
    </w:p>
    <w:p>
      <w:pPr>
        <w:spacing w:after="80" w:before="80"/>
        <w:jc w:val="both"/>
      </w:pPr>
      <w:r>
        <w:rPr>
          <w:rFonts w:ascii="Arial" w:cs="Arial" w:eastAsia="Arial" w:hAnsi="Arial"/>
          <w:b w:val="false"/>
          <w:bCs w:val="false"/>
          <w:color w:val="1A1A1A"/>
          <w:sz w:val="20"/>
          <w:szCs w:val="20"/>
        </w:rPr>
        <w:t xml:space="preserve">Para formalizar a contratação, solicitamos que o cliente assine o campo abaixo e devolva o documento digitalizado, ou envie confirmação por e-mail acompanhada dos dados para emissão de Nota Fiscal e celebração do Contrato de Prestação de Serviços.</w:t>
      </w:r>
    </w:p>
    <w:p>
      <w:pPr>
        <w:spacing w:after="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c>
          <w:tcPr>
            <w:tcW w:type="dxa" w:w="4600"/>
            <w:tcBorders>
              <w:top w:val="single" w:color="CCCCCC" w:sz="1"/>
              <w:left w:val="single" w:color="CCCCCC" w:sz="1"/>
              <w:bottom w:val="single" w:color="CCCCCC" w:sz="1"/>
              <w:right w:val="single" w:color="CCCCCC" w:sz="1"/>
            </w:tcBorders>
            <w:shd w:fill="FEF0E7" w:val="clear"/>
            <w:tcMar>
              <w:top w:type="dxa" w:w="220"/>
              <w:left w:type="dxa" w:w="220"/>
              <w:bottom w:type="dxa" w:w="220"/>
              <w:right w:type="dxa" w:w="220"/>
            </w:tcMar>
          </w:tcPr>
          <w:p>
            <w:pPr>
              <w:spacing w:after="60" w:before="0"/>
              <w:jc w:val="center"/>
            </w:pPr>
            <w:r>
              <w:rPr>
                <w:rFonts w:ascii="Arial" w:cs="Arial" w:eastAsia="Arial" w:hAnsi="Arial"/>
                <w:b/>
                <w:bCs/>
                <w:color w:val="F26522"/>
                <w:sz w:val="20"/>
                <w:szCs w:val="20"/>
              </w:rPr>
              <w:t xml:space="preserve">CONTRATADA</w:t>
            </w:r>
          </w:p>
          <w:p>
            <w:pPr>
              <w:spacing w:after="40" w:before="0"/>
              <w:jc w:val="center"/>
            </w:pPr>
            <w:r>
              <w:drawing>
                <wp:inline distT="0" distB="0" distL="0" distR="0">
                  <wp:extent cx="762000" cy="762000"/>
                  <wp:effectExtent t="0" r="0" b="0" l="0"/>
                  <wp:docPr id="1" name="LogoAceite" descr="logo aceite"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40" w:before="0"/>
              <w:jc w:val="center"/>
            </w:pPr>
            <w:r>
              <w:rPr>
                <w:rFonts w:ascii="Arial" w:cs="Arial" w:eastAsia="Arial" w:hAnsi="Arial"/>
                <w:b/>
                <w:bCs/>
                <w:color w:val="1A2F4A"/>
                <w:sz w:val="20"/>
                <w:szCs w:val="20"/>
              </w:rPr>
              <w:t xml:space="preserve">GTA ENERGIA LTDA</w:t>
            </w:r>
          </w:p>
          <w:p>
            <w:pPr>
              <w:spacing w:after="0" w:before="0"/>
              <w:jc w:val="center"/>
            </w:pPr>
            <w:r>
              <w:rPr>
                <w:rFonts w:ascii="Arial" w:cs="Arial" w:eastAsia="Arial" w:hAnsi="Arial"/>
                <w:color w:val="555555"/>
                <w:sz w:val="17"/>
                <w:szCs w:val="17"/>
              </w:rPr>
              <w:t xml:space="preserve">CNPJ: 59.214.861/0001-15</w:t>
            </w:r>
          </w:p>
          <w:p>
            <w:pPr>
              <w:spacing w:after="0" w:before="140"/>
            </w:pPr>
          </w:p>
          <w:p>
            <w:pPr>
              <w:pBdr>
                <w:top w:val="single" w:color="F26522" w:sz="4"/>
              </w:pBdr>
              <w:spacing w:after="0" w:before="40"/>
              <w:jc w:val="center"/>
            </w:pPr>
            <w:r>
              <w:rPr>
                <w:rFonts w:ascii="Arial" w:cs="Arial" w:eastAsia="Arial" w:hAnsi="Arial"/>
                <w:color w:val="666666"/>
                <w:sz w:val="17"/>
                <w:szCs w:val="17"/>
              </w:rPr>
              <w:t xml:space="preserve">Assinatura / Data: ____/____/______</w:t>
            </w:r>
          </w:p>
        </w:tc>
        <w:tc>
          <w:tcPr>
            <w:tcW w:type="dxa" w:w="4906"/>
            <w:tcBorders>
              <w:top w:val="single" w:color="CCCCCC" w:sz="1"/>
              <w:left w:val="single" w:color="CCCCCC" w:sz="1"/>
              <w:bottom w:val="single" w:color="CCCCCC" w:sz="1"/>
              <w:right w:val="single" w:color="CCCCCC" w:sz="1"/>
            </w:tcBorders>
            <w:shd w:fill="EDEAFC" w:val="clear"/>
            <w:tcMar>
              <w:top w:type="dxa" w:w="220"/>
              <w:left w:type="dxa" w:w="220"/>
              <w:bottom w:type="dxa" w:w="220"/>
              <w:right w:type="dxa" w:w="220"/>
            </w:tcMar>
          </w:tcPr>
          <w:p>
            <w:pPr>
              <w:spacing w:after="60" w:before="0"/>
              <w:jc w:val="center"/>
            </w:pPr>
            <w:r>
              <w:rPr>
                <w:rFonts w:ascii="Arial" w:cs="Arial" w:eastAsia="Arial" w:hAnsi="Arial"/>
                <w:b/>
                <w:bCs/>
                <w:color w:val="5B4FCF"/>
                <w:sz w:val="20"/>
                <w:szCs w:val="20"/>
              </w:rPr>
              <w:t xml:space="preserve">CONTRATANTE</w:t>
            </w:r>
          </w:p>
          <w:p>
            <w:pPr>
              <w:spacing w:after="20" w:before="0"/>
              <w:jc w:val="center"/>
            </w:pPr>
            <w:r>
              <w:rPr>
                <w:rFonts w:ascii="Arial" w:cs="Arial" w:eastAsia="Arial" w:hAnsi="Arial"/>
                <w:b/>
                <w:bCs/>
                <w:color w:val="1A2F4A"/>
                <w:sz w:val="19"/>
                <w:szCs w:val="19"/>
              </w:rPr>
              <w:t xml:space="preserve">{aceiteLinha1}</w:t>
            </w:r>
          </w:p>
          <w:p>
            <w:pPr>
              <w:spacing w:after="40" w:before="0"/>
              <w:jc w:val="center"/>
            </w:pPr>
            <w:r>
              <w:rPr>
                <w:rFonts w:ascii="Arial" w:cs="Arial" w:eastAsia="Arial" w:hAnsi="Arial"/>
                <w:b/>
                <w:bCs/>
                <w:color w:val="1A2F4A"/>
                <w:sz w:val="19"/>
                <w:szCs w:val="19"/>
              </w:rPr>
              <w:t xml:space="preserve">{aceiteLinha2}</w:t>
            </w:r>
          </w:p>
          <w:p>
            <w:pPr>
              <w:spacing w:after="0" w:before="0"/>
              <w:jc w:val="center"/>
            </w:pPr>
            <w:r>
              <w:rPr>
                <w:rFonts w:ascii="Arial" w:cs="Arial" w:eastAsia="Arial" w:hAnsi="Arial"/>
                <w:color w:val="555555"/>
                <w:sz w:val="17"/>
                <w:szCs w:val="17"/>
              </w:rPr>
              <w:t xml:space="preserve">{cidadeUf}</w:t>
            </w:r>
          </w:p>
          <w:p>
            <w:pPr>
              <w:spacing w:after="0" w:before="0"/>
              <w:jc w:val="center"/>
            </w:pPr>
            <w:r>
              <w:rPr>
                <w:rFonts w:ascii="Arial" w:cs="Arial" w:eastAsia="Arial" w:hAnsi="Arial"/>
                <w:color w:val="555555"/>
                <w:sz w:val="17"/>
                <w:szCs w:val="17"/>
              </w:rPr>
              <w:t xml:space="preserve">Nome/Cargo: ___________________</w:t>
            </w:r>
          </w:p>
          <w:p>
            <w:pPr>
              <w:spacing w:after="0" w:before="0"/>
              <w:jc w:val="center"/>
            </w:pPr>
            <w:r>
              <w:rPr>
                <w:rFonts w:ascii="Arial" w:cs="Arial" w:eastAsia="Arial" w:hAnsi="Arial"/>
                <w:color w:val="555555"/>
                <w:sz w:val="17"/>
                <w:szCs w:val="17"/>
              </w:rPr>
              <w:t xml:space="preserve">CNPJ: _______________________</w:t>
            </w:r>
          </w:p>
          <w:p>
            <w:pPr>
              <w:spacing w:after="0" w:before="60"/>
            </w:pPr>
          </w:p>
          <w:p>
            <w:pPr>
              <w:pBdr>
                <w:top w:val="single" w:color="5B4FCF" w:sz="4"/>
              </w:pBdr>
              <w:spacing w:after="0" w:before="40"/>
              <w:jc w:val="center"/>
            </w:pPr>
            <w:r>
              <w:rPr>
                <w:rFonts w:ascii="Arial" w:cs="Arial" w:eastAsia="Arial" w:hAnsi="Arial"/>
                <w:color w:val="666666"/>
                <w:sz w:val="17"/>
                <w:szCs w:val="17"/>
              </w:rPr>
              <w:t xml:space="preserve">Assinatura / Data: ____/____/______</w:t>
            </w:r>
          </w:p>
        </w:tc>
      </w:tr>
    </w:tbl>
    <w:p>
      <w:pPr>
        <w:spacing w:after="0" w:before="240"/>
      </w:pPr>
    </w:p>
    <w:p>
      <w:pPr>
        <w:spacing w:after="20" w:before="0"/>
        <w:jc w:val="center"/>
      </w:pPr>
      <w:r>
        <w:drawing>
          <wp:inline distT="0" distB="0" distL="0" distR="0">
            <wp:extent cx="476250" cy="476250"/>
            <wp:effectExtent t="0" r="0" b="0" l="0"/>
            <wp:docPr id="1" name="IconRodape" descr="icon rodape" title="G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 cy="476250"/>
                    </a:xfrm>
                    <a:prstGeom prst="rect">
                      <a:avLst/>
                    </a:prstGeom>
                  </pic:spPr>
                </pic:pic>
              </a:graphicData>
            </a:graphic>
          </wp:inline>
        </w:drawing>
      </w:r>
    </w:p>
    <w:p>
      <w:pPr>
        <w:spacing w:after="20" w:before="0"/>
        <w:jc w:val="center"/>
      </w:pPr>
      <w:r>
        <w:rPr>
          <w:rFonts w:ascii="Arial" w:cs="Arial" w:eastAsia="Arial" w:hAnsi="Arial"/>
          <w:b/>
          <w:bCs/>
          <w:color w:val="1A2F4A"/>
          <w:sz w:val="20"/>
          <w:szCs w:val="20"/>
        </w:rPr>
        <w:t xml:space="preserve">GTA Energia Ltda</w:t>
      </w:r>
    </w:p>
    <w:p>
      <w:pPr>
        <w:spacing w:after="0" w:before="0"/>
        <w:jc w:val="center"/>
      </w:pPr>
      <w:r>
        <w:rPr>
          <w:rFonts w:ascii="Arial" w:cs="Arial" w:eastAsia="Arial" w:hAnsi="Arial"/>
          <w:color w:val="888888"/>
          <w:sz w:val="17"/>
          <w:szCs w:val="17"/>
        </w:rPr>
        <w:t xml:space="preserve">CNPJ: 59.214.861/0001-15  |  Tel.: (62) 9 9457-1802  |  Goiânia/GO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6522" w:sz="8" w:space="4"/>
      </w:pBdr>
      <w:spacing w:after="0" w:before="80"/>
      <w:jc w:val="center"/>
    </w:pPr>
    <w:r>
      <w:rPr>
        <w:rFonts w:ascii="Arial" w:cs="Arial" w:eastAsia="Arial" w:hAnsi="Arial"/>
        <w:color w:val="888888"/>
        <w:sz w:val="16"/>
        <w:szCs w:val="16"/>
      </w:rPr>
      <w:t xml:space="preserve">GTA Energia Ltda  |  CNPJ 59.214.861/0001-15  |  Goiânia/GO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sz="0"/>
        <w:left w:val="none" w:sz="0"/>
        <w:bottom w:val="none" w:sz="0"/>
        <w:right w:val="none" w:sz="0"/>
        <w:insideH w:val="single" w:color="auto" w:sz="4"/>
        <w:insideV w:val="single" w:color="auto" w:sz="4"/>
      </w:tblBorders>
    </w:tblPr>
    <w:tblGrid>
      <w:gridCol w:w="2200"/>
      <w:gridCol w:w="7306"/>
    </w:tblGrid>
    <w:tr>
      <w:tc>
        <w:tcPr>
          <w:tcW w:type="dxa" w:w="2200"/>
          <w:tcBorders>
            <w:top w:val="none" w:color="FFFFFF" w:sz="0"/>
            <w:left w:val="none" w:color="FFFFFF" w:sz="0"/>
            <w:bottom w:val="none" w:color="FFFFFF" w:sz="0"/>
            <w:right w:val="none" w:color="FFFFFF" w:sz="0"/>
          </w:tcBorders>
          <w:vAlign w:val="center"/>
        </w:tcPr>
        <w:p>
          <w:r>
            <w:drawing>
              <wp:inline distT="0" distB="0" distL="0" distR="0">
                <wp:extent cx="857250" cy="857250"/>
                <wp:effectExtent t="0" r="0" b="0" l="0"/>
                <wp:docPr id="1" name="LogoHeader" descr="Logo GTA"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857250"/>
                        </a:xfrm>
                        <a:prstGeom prst="rect">
                          <a:avLst/>
                        </a:prstGeom>
                      </pic:spPr>
                    </pic:pic>
                  </a:graphicData>
                </a:graphic>
              </wp:inline>
            </w:drawing>
          </w:r>
        </w:p>
      </w:tc>
      <w:tc>
        <w:tcPr>
          <w:tcW w:type="dxa" w:w="7306"/>
          <w:tcBorders>
            <w:top w:val="none" w:color="FFFFFF" w:sz="0"/>
            <w:left w:val="none" w:color="FFFFFF" w:sz="0"/>
            <w:bottom w:val="none" w:color="FFFFFF" w:sz="0"/>
            <w:right w:val="none" w:color="FFFFFF" w:sz="0"/>
          </w:tcBorders>
          <w:vAlign w:val="center"/>
        </w:tcPr>
        <w:p>
          <w:pPr>
            <w:spacing w:after="0" w:before="0"/>
            <w:jc w:val="right"/>
          </w:pPr>
          <w:r>
            <w:rPr>
              <w:rFonts w:ascii="Arial" w:cs="Arial" w:eastAsia="Arial" w:hAnsi="Arial"/>
              <w:color w:val="666666"/>
              <w:sz w:val="16"/>
              <w:szCs w:val="16"/>
            </w:rPr>
            <w:t xml:space="preserve">CNPJ: 59.214.861/0001-15  |  Tel.: (62) 9 9457-1802  |  Goiânia/GO</w:t>
          </w:r>
        </w:p>
        <w:p>
          <w:pPr>
            <w:spacing w:after="0" w:before="0"/>
            <w:jc w:val="right"/>
          </w:pPr>
          <w:r>
            <w:rPr>
              <w:rFonts w:ascii="Arial" w:cs="Arial" w:eastAsia="Arial" w:hAnsi="Arial"/>
              <w:b/>
              <w:bCs/>
              <w:color w:val="F26522"/>
              <w:sz w:val="16"/>
              <w:szCs w:val="16"/>
            </w:rPr>
            <w:t xml:space="preserve">Engenharia Elétrica  |  SPDA  |  Gerenciamento de Risco  |  Projetos</w:t>
          </w:r>
        </w:p>
        <w:p>
          <w:pPr>
            <w:pBdr>
              <w:bottom w:val="single" w:color="F26522" w:sz="10" w:space="1"/>
            </w:pBdr>
            <w:spacing w:after="0" w:before="4"/>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color w:val="F26522"/>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839c34a0ca9dbcd3f1e75482e45ec757fb64dd.png"/><Relationship Id="rId10" Type="http://schemas.openxmlformats.org/officeDocument/2006/relationships/image" Target="media/ace38ec58edd0436972111d3d7ab2eb8e4dc2e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839c34a0ca9dbcd3f1e75482e45ec757fb64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2026-06-12T21:15:19.490Z</dcterms:created>
  <dcterms:modified xsi:type="dcterms:W3CDTF">2026-06-12T21:15:19.490Z</dcterms:modified>
</cp:coreProperties>
</file>

<file path=docProps/custom.xml><?xml version="1.0" encoding="utf-8"?>
<Properties xmlns="http://schemas.openxmlformats.org/officeDocument/2006/custom-properties" xmlns:vt="http://schemas.openxmlformats.org/officeDocument/2006/docPropsVTypes"/>
</file>