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C6D9E" w14:textId="77777777" w:rsidR="00FF7CA3" w:rsidRPr="00FF7CA3" w:rsidRDefault="00FF7CA3" w:rsidP="00FF7CA3">
      <w:pPr>
        <w:rPr>
          <w:b/>
          <w:bCs/>
        </w:rPr>
      </w:pPr>
      <w:r w:rsidRPr="00FF7CA3">
        <w:rPr>
          <w:b/>
          <w:bCs/>
        </w:rPr>
        <w:t>Architecture Fiscale Française en 2026 : Spécifications Techniques et Algorithmiques pour la Conception de Systèmes d'Information Patrimoniale</w:t>
      </w:r>
    </w:p>
    <w:p w14:paraId="3CE64301" w14:textId="77777777" w:rsidR="00FF7CA3" w:rsidRPr="00FF7CA3" w:rsidRDefault="00FF7CA3" w:rsidP="00FF7CA3">
      <w:r w:rsidRPr="00FF7CA3">
        <w:t>La complexité structurelle du paysage fiscal français en 2026 exige des concepteurs de progiciels de gestion de patrimoine une modélisation mathématique et juridique d'une précision absolue. L'année 2026 se distingue par une dualité inédite au sein des prélèvements sociaux, issue des réformes de la Loi de financement de la sécurité sociale. Tandis que les revenus de placements financiers et l'épargne subissent un taux global de prélèvements sociaux de 18,6 %, le secteur immobilier locatif et l'assurance-vie bénéficient d'un maintien dérogatoire à 17,2 %. L'intégration de ces flux croisés au sein des bases de données applicatives s'avère essentielle pour projeter des rendements nets fiables.   </w:t>
      </w:r>
    </w:p>
    <w:p w14:paraId="68A559D3" w14:textId="77777777" w:rsidR="00FF7CA3" w:rsidRPr="00FF7CA3" w:rsidRDefault="00FF7CA3" w:rsidP="00FF7CA3">
      <w:pPr>
        <w:rPr>
          <w:b/>
          <w:bCs/>
        </w:rPr>
      </w:pPr>
      <w:r w:rsidRPr="00FF7CA3">
        <w:rPr>
          <w:b/>
          <w:bCs/>
        </w:rPr>
        <w:t>I. Fiscalité de l'Immobilier Locatif : Modélisation des Flux et Modes de Location</w:t>
      </w:r>
    </w:p>
    <w:p w14:paraId="2A73D30A" w14:textId="77777777" w:rsidR="00FF7CA3" w:rsidRPr="00FF7CA3" w:rsidRDefault="00FF7CA3" w:rsidP="00FF7CA3">
      <w:r w:rsidRPr="00FF7CA3">
        <w:t>La structuration des algorithmes de calcul pour les revenus locatifs repose sur une arborescence stricte distinguant la location nue (Revenus Fonciers) de la location meublée (Bénéfices Industriels et Commerciaux - BIC).   </w:t>
      </w:r>
    </w:p>
    <w:p w14:paraId="3873E2E0" w14:textId="77777777" w:rsidR="00FF7CA3" w:rsidRPr="00FF7CA3" w:rsidRDefault="00FF7CA3" w:rsidP="00FF7CA3">
      <w:pPr>
        <w:rPr>
          <w:b/>
          <w:bCs/>
        </w:rPr>
      </w:pPr>
      <w:r w:rsidRPr="00FF7CA3">
        <w:rPr>
          <w:b/>
          <w:bCs/>
        </w:rPr>
        <w:t>La Location Nue et la Dynamique du Déficit Foncier</w:t>
      </w:r>
    </w:p>
    <w:p w14:paraId="50D386B6" w14:textId="77777777" w:rsidR="00FF7CA3" w:rsidRPr="00FF7CA3" w:rsidRDefault="00FF7CA3" w:rsidP="00FF7CA3">
      <w:r w:rsidRPr="00FF7CA3">
        <w:t xml:space="preserve">La location vide s'organise autour du régime </w:t>
      </w:r>
      <w:proofErr w:type="spellStart"/>
      <w:r w:rsidRPr="00FF7CA3">
        <w:t>micro-foncier</w:t>
      </w:r>
      <w:proofErr w:type="spellEnd"/>
      <w:r w:rsidRPr="00FF7CA3">
        <w:t xml:space="preserve"> et du régime réel. Le régime </w:t>
      </w:r>
      <w:proofErr w:type="spellStart"/>
      <w:r w:rsidRPr="00FF7CA3">
        <w:t>micro-foncier</w:t>
      </w:r>
      <w:proofErr w:type="spellEnd"/>
      <w:r w:rsidRPr="00FF7CA3">
        <w:t xml:space="preserve"> s'applique de plein droit si les recettes annuelles du foyer fiscal n'excèdent pas 15 000 €, octroyant un abattement forfaitaire de 30 %. Ce régime exclut toute possibilité de constater un déficit foncier. Le régime réel est quant à lui obligatoire au-delà de 15 000 € ou sur option irrévocable pour trois ans, permettant la déduction analytique des charges réellement acquittées.   </w:t>
      </w:r>
    </w:p>
    <w:p w14:paraId="5DE3DE10" w14:textId="77777777" w:rsidR="00FF7CA3" w:rsidRPr="00FF7CA3" w:rsidRDefault="00FF7CA3" w:rsidP="00FF7CA3">
      <w:r w:rsidRPr="00FF7CA3">
        <w:t>La modélisation du déficit foncier constitue un levier d'optimisation central. Lorsque les charges déductibles (hors intérêts d'emprunt) excèdent le revenu brut foncier, le déficit s'impute en priorité sur le revenu global du foyer imposable dans la limite annuelle de 10 700 €. La fraction supérieure ou celle générée par les intérêts d'emprunt est exclusivement reportable pendant 10 ans sur les revenus fonciers des années suivantes, tandis que la fraction imputée sur le revenu global bénéficie d'un report de 6 ans sur le revenu global imposable.   </w:t>
      </w:r>
    </w:p>
    <w:p w14:paraId="09CB05E0" w14:textId="77777777" w:rsidR="00FF7CA3" w:rsidRPr="00FF7CA3" w:rsidRDefault="00FF7CA3" w:rsidP="00FF7CA3">
      <w:r w:rsidRPr="00FF7CA3">
        <w:t>Le législateur a prorogé jusqu'au 31 décembre 2027 le dispositif du "super déficit foncier". Ce mécanisme autorise le doublement du plafond d'imputation sur le revenu global, le portant à 21 400 €. Ce rehaussement temporaire cible exclusivement les travaux de rénovation énergétique permettant à un logement qualifié de "passoire thermique" (classe DPE E, F ou G) d'atteindre au minimum la classe D. L'éligibilité requiert l'acceptation d'un devis à compter du 5 novembre 2022 et le paiement effectif des travaux avant le 31 décembre de l'année d'exercice, le tout appuyé par un DPE initial et un DPE final après travaux.   </w:t>
      </w:r>
    </w:p>
    <w:p w14:paraId="4CAD11BB" w14:textId="77777777" w:rsidR="00FF7CA3" w:rsidRPr="00FF7CA3" w:rsidRDefault="00FF7CA3" w:rsidP="00FF7CA3">
      <w:r w:rsidRPr="00FF7CA3">
        <w:t xml:space="preserve">Les </w:t>
      </w:r>
      <w:proofErr w:type="spellStart"/>
      <w:r w:rsidRPr="00FF7CA3">
        <w:t>nu-propriétaires</w:t>
      </w:r>
      <w:proofErr w:type="spellEnd"/>
      <w:r w:rsidRPr="00FF7CA3">
        <w:t xml:space="preserve"> peuvent également constater des déficits fonciers sous réserve de détenir d'autres biens générant des revenus fonciers positifs. Toute imputation d'un déficit foncier sur le revenu global assujettit le propriétaire à une obligation de location effective et continue jusqu'au 31 décembre de la troisième année suivant l'imputation, sous peine de reprise rétroactive de l'avantage fiscal par l'administration.   </w:t>
      </w:r>
    </w:p>
    <w:p w14:paraId="268E04FB" w14:textId="77777777" w:rsidR="00FF7CA3" w:rsidRPr="00FF7CA3" w:rsidRDefault="00FF7CA3" w:rsidP="00FF7CA3">
      <w:pPr>
        <w:rPr>
          <w:b/>
          <w:bCs/>
        </w:rPr>
      </w:pPr>
      <w:r w:rsidRPr="00FF7CA3">
        <w:rPr>
          <w:b/>
          <w:bCs/>
        </w:rPr>
        <w:t>La Location Meublée Non Professionnelle (LMNP) à l'Année</w:t>
      </w:r>
    </w:p>
    <w:p w14:paraId="3161E70D" w14:textId="77777777" w:rsidR="00FF7CA3" w:rsidRPr="00FF7CA3" w:rsidRDefault="00FF7CA3" w:rsidP="00FF7CA3">
      <w:r w:rsidRPr="00FF7CA3">
        <w:t xml:space="preserve">La location meublée longue durée ou sous bail mobilité (un à dix mois) relève de la catégorie des BIC. Le régime micro-BIC s'applique jusqu'à 77 700 € de recettes annuelles, octroyant un abattement forfaitaire de 50 % représentatif de l'ensemble des charges et amortissements. Au-delà de ce seuil, </w:t>
      </w:r>
      <w:r w:rsidRPr="00FF7CA3">
        <w:lastRenderedPageBreak/>
        <w:t>ou sur option, le régime réel impose la déduction des charges réelles et l'amortissement linéaire de l'immeuble et du mobilier.   </w:t>
      </w:r>
    </w:p>
    <w:p w14:paraId="13E9BDB5" w14:textId="77777777" w:rsidR="00FF7CA3" w:rsidRPr="00FF7CA3" w:rsidRDefault="00FF7CA3" w:rsidP="00FF7CA3">
      <w:r w:rsidRPr="00FF7CA3">
        <w:t xml:space="preserve">L'amortissement est calculé par composants (gros œuvre, toiture, installations électriques) sur des durées de 20 à 50 ans, excluant la valeur du terrain non amortissable, généralement évaluée à 15 % du coût total d'acquisition. La déduction de cet amortissement ne peut pas générer de déficit BIC imposable sur le revenu </w:t>
      </w:r>
      <w:proofErr w:type="gramStart"/>
      <w:r w:rsidRPr="00FF7CA3">
        <w:t>global;</w:t>
      </w:r>
      <w:proofErr w:type="gramEnd"/>
      <w:r w:rsidRPr="00FF7CA3">
        <w:t xml:space="preserve"> elle est plafonnée à la différence entre les loyers et les autres charges d'exploitation, l'excédent d'amortissement étant stocké et reportable de manière illimitée sur les exercices futurs.   </w:t>
      </w:r>
    </w:p>
    <w:p w14:paraId="091F9662" w14:textId="77777777" w:rsidR="00FF7CA3" w:rsidRPr="00FF7CA3" w:rsidRDefault="00FF7CA3" w:rsidP="00FF7CA3">
      <w:r w:rsidRPr="00FF7CA3">
        <w:t>À la revente du bien en LMNP, l'amortissement déduit n'est pas réintégré dans le calcul de la plus-value des particuliers, ce qui constitue une niche fiscale majeure par rapport aux règles de l'impôt sur les sociétés ou du statut professionnel (LMP). Les résidences services (étudiantes, seniors, EHPAD) bénéficient quant à elles d'une exemption explicite de réintégration des amortissements sous conditions spécifiques d'exploitation.   </w:t>
      </w:r>
    </w:p>
    <w:p w14:paraId="1BD8E7F9" w14:textId="77777777" w:rsidR="00FF7CA3" w:rsidRPr="00FF7CA3" w:rsidRDefault="00FF7CA3" w:rsidP="00FF7CA3">
      <w:r w:rsidRPr="00FF7CA3">
        <w:t>La location à l'année d'une fraction de la résidence principale du contribuable demeure exonérée d'impôt sous réserve du respect de plafonds de loyer raisonnables fixés annuellement par région, ou s'inscrit dans le cadre du micro-BIC classique case 5NI/5OI. Les cotisations de sécurité sociale (URSSAF) s'appliquent dès lors que les recettes annuelles du loueur non professionnel dépassent 23 000 €. La Cotisation Foncière des Entreprises (CFE) est également due au titre de cette activité commerciale.   </w:t>
      </w:r>
    </w:p>
    <w:p w14:paraId="6B48020A" w14:textId="77777777" w:rsidR="00FF7CA3" w:rsidRPr="00FF7CA3" w:rsidRDefault="00FF7CA3" w:rsidP="00FF7CA3">
      <w:pPr>
        <w:rPr>
          <w:b/>
          <w:bCs/>
        </w:rPr>
      </w:pPr>
      <w:r w:rsidRPr="00FF7CA3">
        <w:rPr>
          <w:b/>
          <w:bCs/>
        </w:rPr>
        <w:t>Le Régime Drastique des Meublés de Tourisme (Airbnb)</w:t>
      </w:r>
    </w:p>
    <w:p w14:paraId="44831785" w14:textId="77777777" w:rsidR="00FF7CA3" w:rsidRPr="00FF7CA3" w:rsidRDefault="00FF7CA3" w:rsidP="00FF7CA3">
      <w:r w:rsidRPr="00FF7CA3">
        <w:t>La loi n° 2024-1039 du 19 novembre 2024, dite "loi Le Meur", ainsi que les textes budgétaires subséquents, ont profondément modifié les règles applicables aux meublés de tourisme.   </w:t>
      </w:r>
    </w:p>
    <w:p w14:paraId="742A13B8" w14:textId="77777777" w:rsidR="00FF7CA3" w:rsidRPr="00FF7CA3" w:rsidRDefault="00FF7CA3" w:rsidP="00FF7CA3">
      <w:r w:rsidRPr="00FF7CA3">
        <w:t>Pour les meublés de tourisme non classés, le régime micro-BIC est sévèrement restreint : l'abattement forfaitaire est abaissé de 50 % à 30 %, et le plafond de chiffre d'affaires tombe à 15 000 €. En outre, les amortissements pratiqués sous le régime réel doivent désormais être réintégrés dans la valeur comptable lors de la revente du bien, augmentant d'autant la plus-value taxable.   </w:t>
      </w:r>
    </w:p>
    <w:p w14:paraId="0D4361D9" w14:textId="77777777" w:rsidR="00FF7CA3" w:rsidRPr="00FF7CA3" w:rsidRDefault="00FF7CA3" w:rsidP="00FF7CA3">
      <w:r w:rsidRPr="00FF7CA3">
        <w:t>Pour les meublés de tourisme classés (1 à 5 étoiles) et les chambres d'hôtes, le plafond de recettes s'établit à 77 700 € pour l'imposition des revenus 2025 (déclarés en 2026) et à 83 600 € pour les revenus 2026 (déclarés en 2027), avec un abattement de 50 % (au lieu des 71 % applicables avant 2025). Les biens classés situés en zones rurales très peu denses ou zones de revitalisation rurale (ZRR) conservent un abattement de 71 % (50 % de base plus 21 % majorés). Le coût d'obtention de la classification varie de 150 € à 300 € pour une validité de 5 ans.   </w:t>
      </w:r>
    </w:p>
    <w:p w14:paraId="6D0D79CD" w14:textId="77777777" w:rsidR="00FF7CA3" w:rsidRPr="00FF7CA3" w:rsidRDefault="00FF7CA3" w:rsidP="00FF7CA3">
      <w:r w:rsidRPr="00FF7CA3">
        <w:t>La fourniture d'au moins trois des quatre services para-hôteliers (petit-déjeuner, nettoyage quotidien, fourniture du linge de maison, réception physique ou par boîte à clé contrôlée) assujettit l'activité à la TVA au taux de 10 %. Le projet d'abaisser le seuil de franchise de TVA à 25 000 € pour les meublés de tourisme a été suspendu et n'est pas applicable.   </w:t>
      </w:r>
    </w:p>
    <w:p w14:paraId="3906A19D" w14:textId="77777777" w:rsidR="00FF7CA3" w:rsidRPr="00FF7CA3" w:rsidRDefault="00FF7CA3" w:rsidP="00FF7CA3">
      <w:r w:rsidRPr="00FF7CA3">
        <w:t>La réglementation locale dote les communes de pouvoirs administratifs accrus :</w:t>
      </w:r>
    </w:p>
    <w:p w14:paraId="4E72CC7E" w14:textId="77777777" w:rsidR="00FF7CA3" w:rsidRPr="00FF7CA3" w:rsidRDefault="00FF7CA3" w:rsidP="00FF7CA3">
      <w:pPr>
        <w:numPr>
          <w:ilvl w:val="0"/>
          <w:numId w:val="1"/>
        </w:numPr>
      </w:pPr>
      <w:r w:rsidRPr="00FF7CA3">
        <w:rPr>
          <w:b/>
          <w:bCs/>
        </w:rPr>
        <w:t>Enregistrement unique</w:t>
      </w:r>
      <w:r w:rsidRPr="00FF7CA3">
        <w:t xml:space="preserve"> : L'obligation d'enregistrement sur la plateforme nationale unique (portail </w:t>
      </w:r>
      <w:proofErr w:type="spellStart"/>
      <w:r w:rsidRPr="00FF7CA3">
        <w:t>Déclaloc</w:t>
      </w:r>
      <w:proofErr w:type="spellEnd"/>
      <w:r w:rsidRPr="00FF7CA3">
        <w:t>) s'applique à l'ensemble du territoire au plus tard le 20 mai 2026, attribuant un numéro de déclaration à 13 chiffres indispensable à toute mise en ligne d'annonce sous peine d'une amende de 10 000 €.   </w:t>
      </w:r>
    </w:p>
    <w:p w14:paraId="251BCA0D" w14:textId="77777777" w:rsidR="00FF7CA3" w:rsidRPr="00FF7CA3" w:rsidRDefault="00FF7CA3" w:rsidP="00FF7CA3">
      <w:pPr>
        <w:numPr>
          <w:ilvl w:val="0"/>
          <w:numId w:val="1"/>
        </w:numPr>
      </w:pPr>
      <w:r w:rsidRPr="00FF7CA3">
        <w:rPr>
          <w:b/>
          <w:bCs/>
        </w:rPr>
        <w:lastRenderedPageBreak/>
        <w:t>Limitation de durée</w:t>
      </w:r>
      <w:r w:rsidRPr="00FF7CA3">
        <w:t xml:space="preserve"> : Les maires peuvent, par délibération motivée, abaisser de 120 à 90 jours par année civile la durée limite de location d'une résidence principale en meublé de tourisme. Le dépassement injustifié de ce seuil expose le loueur à une amende civile de 15 000 €.   </w:t>
      </w:r>
    </w:p>
    <w:p w14:paraId="36232B1E" w14:textId="77777777" w:rsidR="00FF7CA3" w:rsidRPr="00FF7CA3" w:rsidRDefault="00FF7CA3" w:rsidP="00FF7CA3">
      <w:pPr>
        <w:numPr>
          <w:ilvl w:val="0"/>
          <w:numId w:val="1"/>
        </w:numPr>
      </w:pPr>
      <w:r w:rsidRPr="00FF7CA3">
        <w:rPr>
          <w:b/>
          <w:bCs/>
        </w:rPr>
        <w:t>Sanctions administratives</w:t>
      </w:r>
      <w:r w:rsidRPr="00FF7CA3">
        <w:t xml:space="preserve"> : L'exercice d'un changement d'usage illégal en zone réglementée voit son amende administrative maximale doubler, s'établissant désormais à 100 000 €.   </w:t>
      </w:r>
    </w:p>
    <w:p w14:paraId="7E39E1EE" w14:textId="77777777" w:rsidR="00FF7CA3" w:rsidRPr="00FF7CA3" w:rsidRDefault="00FF7CA3" w:rsidP="00FF7CA3">
      <w:pPr>
        <w:numPr>
          <w:ilvl w:val="0"/>
          <w:numId w:val="1"/>
        </w:numPr>
      </w:pPr>
      <w:r w:rsidRPr="00FF7CA3">
        <w:rPr>
          <w:b/>
          <w:bCs/>
        </w:rPr>
        <w:t>Règlement de copropriété</w:t>
      </w:r>
      <w:r w:rsidRPr="00FF7CA3">
        <w:t xml:space="preserve"> : Les copropriétaires peuvent interdire la location touristique des résidences secondaires par un vote à la majorité des deux tiers en assemblée générale, sous réserve que l'immeuble dispose d'une clause d'habitation bourgeoise exclusive. Néanmoins, la Cour de cassation, par avis du 10 avril 2025, a précisé que ces clauses d'interdiction ne s'appliquent pas de manière rétroactive aux situations déjà existantes au moment du vote.   </w:t>
      </w:r>
    </w:p>
    <w:p w14:paraId="0D9D64F8" w14:textId="77777777" w:rsidR="00FF7CA3" w:rsidRPr="00FF7CA3" w:rsidRDefault="00FF7CA3" w:rsidP="00FF7CA3">
      <w:pPr>
        <w:rPr>
          <w:b/>
          <w:bCs/>
        </w:rPr>
      </w:pPr>
      <w:r w:rsidRPr="00FF7CA3">
        <w:rPr>
          <w:b/>
          <w:bCs/>
        </w:rPr>
        <w:t>II. Structuration Sociétaire et Modes de Détention de l'Immobilier</w:t>
      </w:r>
    </w:p>
    <w:p w14:paraId="6A373B28" w14:textId="77777777" w:rsidR="00FF7CA3" w:rsidRPr="00FF7CA3" w:rsidRDefault="00FF7CA3" w:rsidP="00FF7CA3">
      <w:r w:rsidRPr="00FF7CA3">
        <w:t>L'ingénierie patrimoniale s'appuie sur la modélisation des flux fiscaux au travers de véhicules dédiés, chacun obéissant à des logiques d'imposition dissemblables.   </w:t>
      </w:r>
    </w:p>
    <w:p w14:paraId="63E56F28" w14:textId="77777777" w:rsidR="00FF7CA3" w:rsidRPr="00FF7CA3" w:rsidRDefault="00FF7CA3" w:rsidP="00FF7CA3">
      <w:pPr>
        <w:rPr>
          <w:b/>
          <w:bCs/>
        </w:rPr>
      </w:pPr>
      <w:r w:rsidRPr="00FF7CA3">
        <w:rPr>
          <w:b/>
          <w:bCs/>
        </w:rPr>
        <w:t>Société Civile Immobilière à l'Impôt sur le Revenu (SCI à l'IR)</w:t>
      </w:r>
    </w:p>
    <w:p w14:paraId="73E63482" w14:textId="77777777" w:rsidR="00FF7CA3" w:rsidRPr="00FF7CA3" w:rsidRDefault="00FF7CA3" w:rsidP="00FF7CA3">
      <w:r w:rsidRPr="00FF7CA3">
        <w:t>La SCI à l'IR se caractérise par sa transparence fiscale : le bénéfice ou le déficit est déterminé selon les règles des revenus fonciers puis imposé directement entre les mains des associés au prorata de leur participation au capital.   </w:t>
      </w:r>
    </w:p>
    <w:p w14:paraId="61795D67" w14:textId="77777777" w:rsidR="00FF7CA3" w:rsidRPr="00FF7CA3" w:rsidRDefault="00FF7CA3" w:rsidP="00FF7CA3">
      <w:r w:rsidRPr="00FF7CA3">
        <w:t xml:space="preserve">Lors de la cession d'un immeuble par la SCI à l'IR, la plus-value immobilière est imposée selon le régime des particuliers. Le calcul s'effectue en retranchant du prix de cession le prix d'acquisition corrigé. Ce prix d'acquisition est majoré des frais de notaire réels ou forfaitaires (7,5 %) et des travaux d'amélioration réels ou forfaitaires (15 % si le bien est détenu depuis plus de 5 ans). L'assiette est ensuite réduite par un abattement pour </w:t>
      </w:r>
      <w:proofErr w:type="spellStart"/>
      <w:r w:rsidRPr="00FF7CA3">
        <w:t>durée</w:t>
      </w:r>
      <w:proofErr w:type="spellEnd"/>
      <w:r w:rsidRPr="00FF7CA3">
        <w:t xml:space="preserve"> de détention calculé par périodes de 12 mois au-delà de la cinquième année :   </w:t>
      </w:r>
    </w:p>
    <w:p w14:paraId="08013421" w14:textId="77777777" w:rsidR="00FF7CA3" w:rsidRPr="00FF7CA3" w:rsidRDefault="00FF7CA3" w:rsidP="00FF7CA3">
      <w:pPr>
        <w:numPr>
          <w:ilvl w:val="0"/>
          <w:numId w:val="2"/>
        </w:numPr>
      </w:pPr>
      <w:r w:rsidRPr="00FF7CA3">
        <w:rPr>
          <w:b/>
          <w:bCs/>
        </w:rPr>
        <w:t>Abattement Impôt sur le Revenu</w:t>
      </w:r>
      <w:r w:rsidRPr="00FF7CA3">
        <w:t xml:space="preserve"> : 6 % par an de la 6ème à la 21ème année, 4 % au terme de la 22ème année, soit une exonération totale après 22 ans de détention.   </w:t>
      </w:r>
    </w:p>
    <w:p w14:paraId="31398532" w14:textId="77777777" w:rsidR="00FF7CA3" w:rsidRPr="00FF7CA3" w:rsidRDefault="00FF7CA3" w:rsidP="00FF7CA3">
      <w:pPr>
        <w:numPr>
          <w:ilvl w:val="0"/>
          <w:numId w:val="2"/>
        </w:numPr>
      </w:pPr>
      <w:r w:rsidRPr="00FF7CA3">
        <w:rPr>
          <w:b/>
          <w:bCs/>
        </w:rPr>
        <w:t>Abattement Prélèvements Sociaux</w:t>
      </w:r>
      <w:r w:rsidRPr="00FF7CA3">
        <w:t xml:space="preserve"> : 1,65 % par an de la 6ème à la 21ème année, 1,60 % pour la 22ème année, puis 9 % par an au-delà, soit une exonération totale après 30 ans de détention.   </w:t>
      </w:r>
    </w:p>
    <w:p w14:paraId="06B79347" w14:textId="77777777" w:rsidR="00FF7CA3" w:rsidRPr="00FF7CA3" w:rsidRDefault="00FF7CA3" w:rsidP="00FF7CA3">
      <w:r w:rsidRPr="00FF7CA3">
        <w:t>La plus-value nette imposable subit l'impôt sur le revenu au taux forfaitaire de 19 % et les prélèvements sociaux au taux de 17,2 %. Une taxe additionnelle progressive sur les plus-values immobilières élevées (art. 1609 nonies G du CGI) s'applique de 2 % à 6 % dès lors que la plus-value nette taxable d'un associé excède 50 000 €.   </w:t>
      </w:r>
    </w:p>
    <w:p w14:paraId="4B99C28A" w14:textId="77777777" w:rsidR="00FF7CA3" w:rsidRPr="00FF7CA3" w:rsidRDefault="00FF7CA3" w:rsidP="00FF7CA3">
      <w:r w:rsidRPr="00FF7CA3">
        <w:t>Il convient de noter que l'exonération totale applicable aux cessions immobilières directes d'un montant inférieur ou égal à 15 000 € (art. 150 U II 6° du CGI) ne s'applique jamais aux cessions de parts de SCI. La cession de parts de SCI à l'IR est assimilée à une vente immobilière pour l'imposition de la plus-value de l'associé, et l'acquéreur doit s'acquitter de droits d'enregistrement de 5 %.   </w:t>
      </w:r>
    </w:p>
    <w:p w14:paraId="64C9075D" w14:textId="77777777" w:rsidR="00FF7CA3" w:rsidRPr="00FF7CA3" w:rsidRDefault="00FF7CA3" w:rsidP="00FF7CA3">
      <w:pPr>
        <w:rPr>
          <w:b/>
          <w:bCs/>
        </w:rPr>
      </w:pPr>
      <w:r w:rsidRPr="00FF7CA3">
        <w:rPr>
          <w:b/>
          <w:bCs/>
        </w:rPr>
        <w:t>Société Civile Immobilière à l'Impôt sur les Sociétés (SCI à l'IS)</w:t>
      </w:r>
    </w:p>
    <w:p w14:paraId="0F2C75D2" w14:textId="77777777" w:rsidR="00FF7CA3" w:rsidRPr="00FF7CA3" w:rsidRDefault="00FF7CA3" w:rsidP="00FF7CA3">
      <w:r w:rsidRPr="00FF7CA3">
        <w:t xml:space="preserve">La SCI à l'IS constitue un écran fiscal opaque où les bénéfices sont imposés au niveau de la société. Elle permet l'amortissement linéaire du bâti, réduisant le résultat comptable récurrent imposable. Le bénéfice est soumis à l'IS au taux de 15 % jusqu'à 42 500 € (sous conditions de PME : chiffre d'affaires </w:t>
      </w:r>
      <w:r w:rsidRPr="00FF7CA3">
        <w:lastRenderedPageBreak/>
        <w:t>inférieur à 10 millions d'euros et capital détenu à 75 % au moins par des personnes physiques), et au taux normal de 25 % au-delà.   </w:t>
      </w:r>
    </w:p>
    <w:p w14:paraId="37B0B682" w14:textId="77777777" w:rsidR="00FF7CA3" w:rsidRPr="00FF7CA3" w:rsidRDefault="00FF7CA3" w:rsidP="00FF7CA3">
      <w:r w:rsidRPr="00FF7CA3">
        <w:t>La plus-value de cession réalisée par la SCI à l'IS est soumise au régime des plus-values professionnelles. L'assiette taxable est la différence entre le prix de vente net et la Valeur Nette Comptable (VNC) :   </w:t>
      </w:r>
    </w:p>
    <w:p w14:paraId="11565C11" w14:textId="77777777" w:rsidR="00FF7CA3" w:rsidRPr="00FF7CA3" w:rsidRDefault="00FF7CA3" w:rsidP="00FF7CA3">
      <w:r w:rsidRPr="00FF7CA3">
        <w:t>VNC=Prix d’achat+Frais d’acquisition+Travaux immobiliseˊs−Total des amortissements deˊduits</w:t>
      </w:r>
    </w:p>
    <w:p w14:paraId="3916AC8D" w14:textId="77777777" w:rsidR="00FF7CA3" w:rsidRPr="00FF7CA3" w:rsidRDefault="00FF7CA3" w:rsidP="00FF7CA3">
      <w:r w:rsidRPr="00FF7CA3">
        <w:t xml:space="preserve">L'amortissement pratiqué vient ainsi diminuer la VNC à zéro au terme de l'amortissement, maximisant artificiellement la plus-value imposable. Cette plus-value comptable est réintégrée au résultat ordinaire de la SCI et taxée au taux de l'IS en vigueur (15 % ou 25 %), sans aucun abattement pour </w:t>
      </w:r>
      <w:proofErr w:type="spellStart"/>
      <w:r w:rsidRPr="00FF7CA3">
        <w:t>durée</w:t>
      </w:r>
      <w:proofErr w:type="spellEnd"/>
      <w:r w:rsidRPr="00FF7CA3">
        <w:t xml:space="preserve"> de détention.   </w:t>
      </w:r>
    </w:p>
    <w:p w14:paraId="35E675CA" w14:textId="77777777" w:rsidR="00FF7CA3" w:rsidRPr="00FF7CA3" w:rsidRDefault="00FF7CA3" w:rsidP="00FF7CA3">
      <w:r w:rsidRPr="00FF7CA3">
        <w:t>L'appréhension des fonds par les associés personnes physiques requiert une distribution de dividendes soumise par défaut au PFU de 31,4 % en 2026 (12,8 % d'impôt sur le revenu et 18,6 % de prélèvements sociaux). Si la SCI à l'IS est détenue par une holding à l'IS (détention d'au moins 5 % du capital depuis plus de 2 ans), les dividendes distribués bénéficient du régime mère-fille (art. 216 du CGI), limitant la taxation à une quote-part de frais et charges de 5 %.   </w:t>
      </w:r>
    </w:p>
    <w:p w14:paraId="654194AE" w14:textId="77777777" w:rsidR="00FF7CA3" w:rsidRPr="00FF7CA3" w:rsidRDefault="00FF7CA3" w:rsidP="00FF7CA3">
      <w:r w:rsidRPr="00FF7CA3">
        <w:t>La cession de parts d'une SCI à l'IS par un associé physique relève du régime des plus-values de valeurs mobilières (PFU de 31,4 % ou option barème de l'IR avec abattements de droit commun de 50 % ou 65 % exclusivement pour les parts acquises avant le 1er janvier 2018). L'acquéreur est redevable de droits d'enregistrement de 5 % sur la valeur réelle des parts transmises. Les résultats comptables de la cession immobilière sont déclarés sur la liasse 2065 avec l'annexe 2033-B, dispensant le notaire du dépôt du formulaire 2048.   </w:t>
      </w:r>
    </w:p>
    <w:p w14:paraId="1FF1D04C" w14:textId="77777777" w:rsidR="00FF7CA3" w:rsidRPr="00FF7CA3" w:rsidRDefault="00FF7CA3" w:rsidP="00FF7CA3">
      <w:pPr>
        <w:rPr>
          <w:b/>
          <w:bCs/>
        </w:rPr>
      </w:pPr>
      <w:r w:rsidRPr="00FF7CA3">
        <w:rPr>
          <w:b/>
          <w:bCs/>
        </w:rPr>
        <w:t>SARL de Famille</w:t>
      </w:r>
    </w:p>
    <w:p w14:paraId="1AD0BB78" w14:textId="77777777" w:rsidR="00FF7CA3" w:rsidRPr="00FF7CA3" w:rsidRDefault="00FF7CA3" w:rsidP="00FF7CA3">
      <w:r w:rsidRPr="00FF7CA3">
        <w:t>Régie par l'article 239 bis AA du CGI, la SARL de famille permet à des associés présentant un lien de parenté direct ou collatéral (frères, sœurs, époux, partenaires pacsés) d'entreprendre sous une forme sociétaire tout en optant pour l'impôt sur le revenu de manière illimitée dans le temps. Cette option déroge au régime de la SARL classique dont l'option IR est plafonnée à 5 exercices maximum.   </w:t>
      </w:r>
    </w:p>
    <w:p w14:paraId="54B4A57D" w14:textId="77777777" w:rsidR="00FF7CA3" w:rsidRPr="00FF7CA3" w:rsidRDefault="00FF7CA3" w:rsidP="00FF7CA3">
      <w:r w:rsidRPr="00FF7CA3">
        <w:t>La SARL de famille limite la responsabilité des associés à hauteur de leurs apports. Elle doit impérativement exercer une activité commerciale, industrielle ou artisanale au sens des articles 34 et 35 du CGI, ce qui valide son usage exclusif pour l'activité de location meublée (BIC).   </w:t>
      </w:r>
    </w:p>
    <w:p w14:paraId="313D7D69" w14:textId="77777777" w:rsidR="00FF7CA3" w:rsidRPr="00FF7CA3" w:rsidRDefault="00FF7CA3" w:rsidP="00FF7CA3">
      <w:r w:rsidRPr="00FF7CA3">
        <w:t>L'entrée d'un seul associé tiers extérieur au cercle familial restreint entraîne la déchéance immédiate de l'option IR et le basculement irréversible vers l'IS dès l'exercice en cours. Le divorce de deux associés peut rompre le lien familial requis et provoquer la perte automatique du régime IR.   </w:t>
      </w:r>
    </w:p>
    <w:p w14:paraId="1F00E62F" w14:textId="77777777" w:rsidR="00FF7CA3" w:rsidRPr="00FF7CA3" w:rsidRDefault="00FF7CA3" w:rsidP="00FF7CA3">
      <w:r w:rsidRPr="00FF7CA3">
        <w:t>Sous le régime de l'IR, les bénéfices de la SARL sont imposés directement au niveau de chaque associé dans la catégorie des BIC au prorata de leurs parts. Si l'activité s'avère déficitaire, l'associé peut imputer sa quote-part de déficit sur son revenu global (statut LMP professionnel) ou sur ses revenus de même nature (statut LMNP non professionnel).   </w:t>
      </w:r>
    </w:p>
    <w:p w14:paraId="008B6608" w14:textId="77777777" w:rsidR="00FF7CA3" w:rsidRPr="00FF7CA3" w:rsidRDefault="00FF7CA3" w:rsidP="00FF7CA3">
      <w:r w:rsidRPr="00FF7CA3">
        <w:t>La rémunération du gérant associé n'est pas déductible du bénéfice de la société sous option IR, contrairement au régime de l'IS. En outre, pour le gérant majoritaire, les dividendes éventuellement servis sous l'IS supportent les cotisations de sécurité sociale des travailleurs non-salariés (TNS) sur leur fraction excédant 10 % du capital social et des primes d'émission. En cas de cession globale de parts sociales de la SARL de famille à l'IR, les associés peuvent sous conditions bénéficier d'exonérations spécifiques sur les plus-values professionnelles.   </w:t>
      </w:r>
    </w:p>
    <w:p w14:paraId="7ED5E2EC" w14:textId="77777777" w:rsidR="00FF7CA3" w:rsidRPr="00FF7CA3" w:rsidRDefault="00FF7CA3" w:rsidP="00FF7CA3">
      <w:pPr>
        <w:rPr>
          <w:b/>
          <w:bCs/>
        </w:rPr>
      </w:pPr>
      <w:r w:rsidRPr="00FF7CA3">
        <w:rPr>
          <w:b/>
          <w:bCs/>
        </w:rPr>
        <w:lastRenderedPageBreak/>
        <w:t>Indivision et Démembrement de Propriété</w:t>
      </w:r>
    </w:p>
    <w:p w14:paraId="6E6F6368" w14:textId="77777777" w:rsidR="00FF7CA3" w:rsidRPr="00FF7CA3" w:rsidRDefault="00FF7CA3" w:rsidP="00FF7CA3">
      <w:r w:rsidRPr="00FF7CA3">
        <w:t xml:space="preserve">L'indivision est régie par l'article 815 du Code civil. Chaque </w:t>
      </w:r>
      <w:proofErr w:type="spellStart"/>
      <w:r w:rsidRPr="00FF7CA3">
        <w:t>co-indivisaire</w:t>
      </w:r>
      <w:proofErr w:type="spellEnd"/>
      <w:r w:rsidRPr="00FF7CA3">
        <w:t xml:space="preserve"> déclare sa quote-part de revenus (fonciers ou BIC) sur sa déclaration fiscale personnelle n° 2042 ou n° 2044. L'indivision est fiscalement transparente mais juridiquement précaire, un associé pouvant exiger à tout moment le partage des actifs.   </w:t>
      </w:r>
    </w:p>
    <w:p w14:paraId="424572E9" w14:textId="77777777" w:rsidR="00FF7CA3" w:rsidRPr="00FF7CA3" w:rsidRDefault="00FF7CA3" w:rsidP="00FF7CA3">
      <w:r w:rsidRPr="00FF7CA3">
        <w:t>Le démembrement de propriété isole l'usufruit de la nue-propriété. L'évaluation fiscale de l'usufruit viager est fixée par l'article 669 du CGI selon l'âge de l'usufruitier.   </w:t>
      </w:r>
    </w:p>
    <w:p w14:paraId="7D561E4C" w14:textId="77777777" w:rsidR="00FF7CA3" w:rsidRPr="00FF7CA3" w:rsidRDefault="00FF7CA3" w:rsidP="00FF7CA3">
      <w:r w:rsidRPr="00FF7CA3">
        <w:t>L'usufruit constitué pour une durée fixe est estimé à 23 % de la valeur de la pleine propriété pour chaque période de 10 ans de détention, indépendamment de l'âge de l'usufruitier. En matière d'Impôt sur la Fortune Immobilière (IFI), la valeur en pleine propriété du bien démembré est en principe intégrée dans le patrimoine imposable de l'usufruitier, le nu-propriétaire en étant exempté.   </w:t>
      </w:r>
    </w:p>
    <w:p w14:paraId="6BD538A7" w14:textId="77777777" w:rsidR="00FF7CA3" w:rsidRPr="00FF7CA3" w:rsidRDefault="00FF7CA3" w:rsidP="00FF7CA3">
      <w:r w:rsidRPr="00FF7CA3">
        <w:t>Une exception notable s'applique lorsque le démembrement résulte d'une succession légale (usufruit du conjoint survivant), où la charge de l'IFI est partagée entre usufruitier et nu-propriétaire selon le barème de l'article 669 du CGI. La donation temporaire d'usufruit (souvent sur des parts de SCPI) au profit d'un enfant étudiant ou d'un organisme d'intérêt général permet de réduire immédiatement l'IFI du donateur tout en procurant un revenu direct au bénéficiaire.   </w:t>
      </w:r>
    </w:p>
    <w:p w14:paraId="6DEB3FFF" w14:textId="77777777" w:rsidR="00FF7CA3" w:rsidRPr="00FF7CA3" w:rsidRDefault="00FF7CA3" w:rsidP="00FF7CA3">
      <w:r w:rsidRPr="00FF7CA3">
        <w:t>La répartition légale des charges entre usufruitier et nu-propriétaire est fixée par l'article 606 du Code civil : l'usufruitier assume les charges d'entretien ordinaires et les impôts locaux, tandis que le nu-propriétaire supporte exclusivement les grosses réparations structurelles (gros murs, voûtes, poutres de soutènement, toitures complètes).   </w:t>
      </w:r>
    </w:p>
    <w:p w14:paraId="7503180A" w14:textId="77777777" w:rsidR="00FF7CA3" w:rsidRPr="00FF7CA3" w:rsidRDefault="00FF7CA3" w:rsidP="00FF7CA3">
      <w:pPr>
        <w:rPr>
          <w:b/>
          <w:bCs/>
        </w:rPr>
      </w:pPr>
      <w:r w:rsidRPr="00FF7CA3">
        <w:rPr>
          <w:b/>
          <w:bCs/>
        </w:rPr>
        <w:t>III. Assurance-Vie : Épargne, Arbitrages et Transmission</w:t>
      </w:r>
    </w:p>
    <w:p w14:paraId="12BE21F6" w14:textId="77777777" w:rsidR="00FF7CA3" w:rsidRPr="00FF7CA3" w:rsidRDefault="00FF7CA3" w:rsidP="00FF7CA3">
      <w:r w:rsidRPr="00FF7CA3">
        <w:t>L'assurance-vie conserve une fiscalité attractive en 2026 grâce au maintien dérogatoire du taux de prélèvements sociaux à 17,2 % sur les gains au rachat.   </w:t>
      </w:r>
    </w:p>
    <w:p w14:paraId="23298441" w14:textId="77777777" w:rsidR="00FF7CA3" w:rsidRPr="00FF7CA3" w:rsidRDefault="00FF7CA3" w:rsidP="00FF7CA3">
      <w:pPr>
        <w:rPr>
          <w:b/>
          <w:bCs/>
        </w:rPr>
      </w:pPr>
      <w:r w:rsidRPr="00FF7CA3">
        <w:rPr>
          <w:b/>
          <w:bCs/>
        </w:rPr>
        <w:t>Mécanique de Taxation des Rachats Partiels</w:t>
      </w:r>
    </w:p>
    <w:p w14:paraId="0AC379B3" w14:textId="77777777" w:rsidR="00FF7CA3" w:rsidRPr="00FF7CA3" w:rsidRDefault="00FF7CA3" w:rsidP="00FF7CA3">
      <w:r w:rsidRPr="00FF7CA3">
        <w:t>Lors d'un rachat partiel, l'imposition ne frappe que la quote-part d'intérêts et de gains latents extraite du contrat. Le gain imposable (</w:t>
      </w:r>
      <w:r w:rsidRPr="00FF7CA3">
        <w:rPr>
          <w:i/>
          <w:iCs/>
        </w:rPr>
        <w:t>Pi</w:t>
      </w:r>
      <w:r w:rsidRPr="00FF7CA3">
        <w:t>​) est modélisé par l'équation légale du Code général des impôts :   </w:t>
      </w:r>
    </w:p>
    <w:p w14:paraId="08207177" w14:textId="77777777" w:rsidR="00FF7CA3" w:rsidRPr="00FF7CA3" w:rsidRDefault="00FF7CA3" w:rsidP="00FF7CA3">
      <w:proofErr w:type="spellStart"/>
      <w:r w:rsidRPr="00FF7CA3">
        <w:t>P_i</w:t>
      </w:r>
      <w:proofErr w:type="spellEnd"/>
      <w:r w:rsidRPr="00FF7CA3">
        <w:t xml:space="preserve"> = R - \</w:t>
      </w:r>
      <w:proofErr w:type="spellStart"/>
      <w:r w:rsidRPr="00FF7CA3">
        <w:t>left</w:t>
      </w:r>
      <w:proofErr w:type="spellEnd"/>
    </w:p>
    <w:p w14:paraId="5FADA6DD" w14:textId="77777777" w:rsidR="00FF7CA3" w:rsidRPr="00FF7CA3" w:rsidRDefault="00FF7CA3" w:rsidP="00FF7CA3">
      <w:r w:rsidRPr="00FF7CA3">
        <w:t xml:space="preserve">Où </w:t>
      </w:r>
      <w:r w:rsidRPr="00FF7CA3">
        <w:rPr>
          <w:i/>
          <w:iCs/>
        </w:rPr>
        <w:t>R</w:t>
      </w:r>
      <w:r w:rsidRPr="00FF7CA3">
        <w:t xml:space="preserve"> désigne le montant brut du rachat partiel effectué, ∑</w:t>
      </w:r>
      <w:r w:rsidRPr="00FF7CA3">
        <w:rPr>
          <w:i/>
          <w:iCs/>
        </w:rPr>
        <w:t>V</w:t>
      </w:r>
      <w:r w:rsidRPr="00FF7CA3">
        <w:t xml:space="preserve"> le cumul des primes versées nettes de la part de capital déjà récupérée lors de rachats antérieurs, et </w:t>
      </w:r>
      <w:r w:rsidRPr="00FF7CA3">
        <w:rPr>
          <w:i/>
          <w:iCs/>
        </w:rPr>
        <w:t>CV</w:t>
      </w:r>
      <w:r w:rsidRPr="00FF7CA3">
        <w:t xml:space="preserve"> la valeur de rachat totale du contrat au jour du rachat.   </w:t>
      </w:r>
    </w:p>
    <w:p w14:paraId="23E754D0" w14:textId="77777777" w:rsidR="00FF7CA3" w:rsidRPr="00FF7CA3" w:rsidRDefault="00FF7CA3" w:rsidP="00FF7CA3">
      <w:r w:rsidRPr="00FF7CA3">
        <w:t>Pour les versements effectués après le 27 septembre 2017, la fiscalité dépend de la durée de détention du contrat à la date du fait générateur :   </w:t>
      </w:r>
    </w:p>
    <w:p w14:paraId="7CAD71F2" w14:textId="77777777" w:rsidR="00FF7CA3" w:rsidRPr="00FF7CA3" w:rsidRDefault="00FF7CA3" w:rsidP="00FF7CA3">
      <w:pPr>
        <w:numPr>
          <w:ilvl w:val="0"/>
          <w:numId w:val="3"/>
        </w:numPr>
      </w:pPr>
      <w:r w:rsidRPr="00FF7CA3">
        <w:rPr>
          <w:b/>
          <w:bCs/>
        </w:rPr>
        <w:t>Contrat de moins de 8 ans</w:t>
      </w:r>
      <w:r w:rsidRPr="00FF7CA3">
        <w:t xml:space="preserve"> : Imposition forfaitaire au taux global du PFU de 30 % (12,8 % d'impôt sur le revenu et 17,2 % de prélèvements sociaux). L'option globale pour le barème de l'IR est ouverte.   </w:t>
      </w:r>
    </w:p>
    <w:p w14:paraId="24F94E92" w14:textId="77777777" w:rsidR="00FF7CA3" w:rsidRPr="00FF7CA3" w:rsidRDefault="00FF7CA3" w:rsidP="00FF7CA3">
      <w:pPr>
        <w:numPr>
          <w:ilvl w:val="0"/>
          <w:numId w:val="3"/>
        </w:numPr>
      </w:pPr>
      <w:r w:rsidRPr="00FF7CA3">
        <w:rPr>
          <w:b/>
          <w:bCs/>
        </w:rPr>
        <w:t>Contrat de 8 ans et plus</w:t>
      </w:r>
      <w:r w:rsidRPr="00FF7CA3">
        <w:t xml:space="preserve"> : Application d'un abattement annuel sur l'assiette des gains de 4 600 € pour une personne célibataire, veuve ou divorcée, et de 9 200 € pour un couple soumis à imposition commune. La fraction des gains inférieure à l'abattement subit exclusivement les prélèvements sociaux au taux de 17,2 %. Au-delà de l'abattement, les gains sont taxés au taux réduit de 7,5 % d'IR (taux d'imposition global de </w:t>
      </w:r>
      <w:r w:rsidRPr="00FF7CA3">
        <w:rPr>
          <w:b/>
          <w:bCs/>
        </w:rPr>
        <w:t>24,7 %</w:t>
      </w:r>
      <w:r w:rsidRPr="00FF7CA3">
        <w:t xml:space="preserve">) si l'encours global des primes </w:t>
      </w:r>
      <w:r w:rsidRPr="00FF7CA3">
        <w:lastRenderedPageBreak/>
        <w:t>versées par l'assuré (tous contrats confondus) n'excède pas 150 000 €. Pour la fraction des primes excédant ce seuil de 150 000 €, le taux standard de 12,8 % s'applique sur les gains proratisés correspondants (soit un taux d'imposition global de 30 % sur l'excédent).   </w:t>
      </w:r>
    </w:p>
    <w:p w14:paraId="0B48020C" w14:textId="77777777" w:rsidR="00FF7CA3" w:rsidRPr="00FF7CA3" w:rsidRDefault="00FF7CA3" w:rsidP="00FF7CA3">
      <w:r w:rsidRPr="00FF7CA3">
        <w:t>Les produits issus de contrats souscrits avant le 26 septembre 1997 et attachés à des primes versées avant le 1er janvier 1998 bénéficient d'une exonération totale d'impôt sur le revenu, indépendamment de la durée du contrat, bien que les prélèvements sociaux de 17,2 % s'appliquent sur les gains UC.   </w:t>
      </w:r>
    </w:p>
    <w:p w14:paraId="64833304" w14:textId="77777777" w:rsidR="00FF7CA3" w:rsidRPr="00FF7CA3" w:rsidRDefault="00FF7CA3" w:rsidP="00FF7CA3">
      <w:r w:rsidRPr="00FF7CA3">
        <w:t>Des cas d'exonération totale d'impôt sur le revenu (hors prélèvements sociaux) s'appliquent en cas de rupture de contrat liée à certains événements de la vie (licenciement, liquidation judiciaire, mise à la retraite anticipée, invalidité de 2ème ou 3ème catégorie de l'assuré ou de son conjoint), sous réserve que le rachat intervienne avant le 31 décembre de l'année suivant l'événement.   </w:t>
      </w:r>
    </w:p>
    <w:p w14:paraId="1849042F" w14:textId="77777777" w:rsidR="00FF7CA3" w:rsidRPr="00FF7CA3" w:rsidRDefault="00FF7CA3" w:rsidP="00FF7CA3">
      <w:pPr>
        <w:rPr>
          <w:b/>
          <w:bCs/>
        </w:rPr>
      </w:pPr>
      <w:r w:rsidRPr="00FF7CA3">
        <w:rPr>
          <w:b/>
          <w:bCs/>
        </w:rPr>
        <w:t>Transmission par Décès : Traitement Successoral</w:t>
      </w:r>
    </w:p>
    <w:p w14:paraId="44324FD9" w14:textId="77777777" w:rsidR="00FF7CA3" w:rsidRPr="00FF7CA3" w:rsidRDefault="00FF7CA3" w:rsidP="00FF7CA3">
      <w:r w:rsidRPr="00FF7CA3">
        <w:t>La fiscalité applicable au dénouement du contrat par décès dépend exclusivement de l'âge de l'assuré lors du versement des primes.   </w:t>
      </w:r>
    </w:p>
    <w:p w14:paraId="592E0A54" w14:textId="77777777" w:rsidR="00FF7CA3" w:rsidRPr="00FF7CA3" w:rsidRDefault="00FF7CA3" w:rsidP="00FF7CA3">
      <w:r w:rsidRPr="00FF7CA3">
        <w:t xml:space="preserve">                               ┌────────────────────────────────┐</w:t>
      </w:r>
    </w:p>
    <w:p w14:paraId="564F11D4" w14:textId="77777777" w:rsidR="00FF7CA3" w:rsidRPr="00FF7CA3" w:rsidRDefault="00FF7CA3" w:rsidP="00FF7CA3">
      <w:r w:rsidRPr="00FF7CA3">
        <w:t xml:space="preserve">                               │       ASSURÉ SOUSCRIPTEUR      │</w:t>
      </w:r>
    </w:p>
    <w:p w14:paraId="326BDFA3" w14:textId="77777777" w:rsidR="00FF7CA3" w:rsidRPr="00FF7CA3" w:rsidRDefault="00FF7CA3" w:rsidP="00FF7CA3">
      <w:r w:rsidRPr="00FF7CA3">
        <w:t xml:space="preserve">                               └────────────────────────────────┘</w:t>
      </w:r>
    </w:p>
    <w:p w14:paraId="6F6F4016" w14:textId="77777777" w:rsidR="00FF7CA3" w:rsidRPr="00FF7CA3" w:rsidRDefault="00FF7CA3" w:rsidP="00FF7CA3">
      <w:r w:rsidRPr="00FF7CA3">
        <w:t xml:space="preserve">                                                │</w:t>
      </w:r>
    </w:p>
    <w:p w14:paraId="19FA7DF6" w14:textId="77777777" w:rsidR="00FF7CA3" w:rsidRPr="00FF7CA3" w:rsidRDefault="00FF7CA3" w:rsidP="00FF7CA3">
      <w:r w:rsidRPr="00FF7CA3">
        <w:t xml:space="preserve">                       ┌────────────────────────</w:t>
      </w:r>
      <w:r w:rsidRPr="00FF7CA3">
        <w:rPr>
          <w:rFonts w:ascii="Arial" w:hAnsi="Arial" w:cs="Arial"/>
        </w:rPr>
        <w:t>┴</w:t>
      </w:r>
      <w:r w:rsidRPr="00FF7CA3">
        <w:rPr>
          <w:rFonts w:ascii="Calibri" w:hAnsi="Calibri" w:cs="Calibri"/>
        </w:rPr>
        <w:t>────────────────────────┐</w:t>
      </w:r>
    </w:p>
    <w:p w14:paraId="39BF047C" w14:textId="77777777" w:rsidR="00FF7CA3" w:rsidRPr="00FF7CA3" w:rsidRDefault="00FF7CA3" w:rsidP="00FF7CA3">
      <w:r w:rsidRPr="00FF7CA3">
        <w:t xml:space="preserve">                       </w:t>
      </w:r>
      <w:r w:rsidRPr="00FF7CA3">
        <w:rPr>
          <w:rFonts w:ascii="Arial" w:hAnsi="Arial" w:cs="Arial"/>
        </w:rPr>
        <w:t>▼</w:t>
      </w:r>
      <w:r w:rsidRPr="00FF7CA3">
        <w:t xml:space="preserve">                                                 </w:t>
      </w:r>
      <w:r w:rsidRPr="00FF7CA3">
        <w:rPr>
          <w:rFonts w:ascii="Arial" w:hAnsi="Arial" w:cs="Arial"/>
        </w:rPr>
        <w:t>▼</w:t>
      </w:r>
    </w:p>
    <w:p w14:paraId="701BD2C6" w14:textId="77777777" w:rsidR="00FF7CA3" w:rsidRPr="00FF7CA3" w:rsidRDefault="00FF7CA3" w:rsidP="00FF7CA3">
      <w:r w:rsidRPr="00FF7CA3">
        <w:t xml:space="preserve">       ┌───────────────────────────────┐                 ┌───────────────────────────────┐</w:t>
      </w:r>
    </w:p>
    <w:p w14:paraId="7671EBF0" w14:textId="77777777" w:rsidR="00FF7CA3" w:rsidRPr="00FF7CA3" w:rsidRDefault="00FF7CA3" w:rsidP="00FF7CA3">
      <w:r w:rsidRPr="00FF7CA3">
        <w:t xml:space="preserve">       │     VERSEMENTS AVANT 70 ANS   │                 │     VERSEMENTS APRÈS 70 ANS   │</w:t>
      </w:r>
    </w:p>
    <w:p w14:paraId="0B7559B1" w14:textId="77777777" w:rsidR="00FF7CA3" w:rsidRPr="00FF7CA3" w:rsidRDefault="00FF7CA3" w:rsidP="00FF7CA3">
      <w:r w:rsidRPr="00FF7CA3">
        <w:t xml:space="preserve">       └───────────────────────────────┘                 └───────────────────────────────┘</w:t>
      </w:r>
    </w:p>
    <w:p w14:paraId="2FFE8663" w14:textId="77777777" w:rsidR="00FF7CA3" w:rsidRPr="00FF7CA3" w:rsidRDefault="00FF7CA3" w:rsidP="00FF7CA3">
      <w:r w:rsidRPr="00FF7CA3">
        <w:t xml:space="preserve">                       │                                                 │</w:t>
      </w:r>
    </w:p>
    <w:p w14:paraId="52764873" w14:textId="77777777" w:rsidR="00FF7CA3" w:rsidRPr="00FF7CA3" w:rsidRDefault="00FF7CA3" w:rsidP="00FF7CA3">
      <w:r w:rsidRPr="00FF7CA3">
        <w:t xml:space="preserve">            ┌──────────</w:t>
      </w:r>
      <w:r w:rsidRPr="00FF7CA3">
        <w:rPr>
          <w:rFonts w:ascii="Arial" w:hAnsi="Arial" w:cs="Arial"/>
        </w:rPr>
        <w:t>┴</w:t>
      </w:r>
      <w:r w:rsidRPr="00FF7CA3">
        <w:rPr>
          <w:rFonts w:ascii="Calibri" w:hAnsi="Calibri" w:cs="Calibri"/>
        </w:rPr>
        <w:t>──────────┐</w:t>
      </w:r>
      <w:r w:rsidRPr="00FF7CA3">
        <w:t xml:space="preserve">                           </w:t>
      </w:r>
      <w:r w:rsidRPr="00FF7CA3">
        <w:rPr>
          <w:rFonts w:ascii="Calibri" w:hAnsi="Calibri" w:cs="Calibri"/>
        </w:rPr>
        <w:t>┌──────────</w:t>
      </w:r>
      <w:r w:rsidRPr="00FF7CA3">
        <w:rPr>
          <w:rFonts w:ascii="Arial" w:hAnsi="Arial" w:cs="Arial"/>
        </w:rPr>
        <w:t>┴</w:t>
      </w:r>
      <w:r w:rsidRPr="00FF7CA3">
        <w:rPr>
          <w:rFonts w:ascii="Calibri" w:hAnsi="Calibri" w:cs="Calibri"/>
        </w:rPr>
        <w:t>──────────┐</w:t>
      </w:r>
    </w:p>
    <w:p w14:paraId="1EC63E5E" w14:textId="77777777" w:rsidR="00FF7CA3" w:rsidRPr="00FF7CA3" w:rsidRDefault="00FF7CA3" w:rsidP="00FF7CA3">
      <w:r w:rsidRPr="00FF7CA3">
        <w:t xml:space="preserve">            </w:t>
      </w:r>
      <w:r w:rsidRPr="00FF7CA3">
        <w:rPr>
          <w:rFonts w:ascii="Arial" w:hAnsi="Arial" w:cs="Arial"/>
        </w:rPr>
        <w:t>▼</w:t>
      </w:r>
      <w:r w:rsidRPr="00FF7CA3">
        <w:t xml:space="preserve">                     </w:t>
      </w:r>
      <w:r w:rsidRPr="00FF7CA3">
        <w:rPr>
          <w:rFonts w:ascii="Arial" w:hAnsi="Arial" w:cs="Arial"/>
        </w:rPr>
        <w:t>▼</w:t>
      </w:r>
      <w:r w:rsidRPr="00FF7CA3">
        <w:t xml:space="preserve">                           </w:t>
      </w:r>
      <w:r w:rsidRPr="00FF7CA3">
        <w:rPr>
          <w:rFonts w:ascii="Arial" w:hAnsi="Arial" w:cs="Arial"/>
        </w:rPr>
        <w:t>▼</w:t>
      </w:r>
      <w:r w:rsidRPr="00FF7CA3">
        <w:t xml:space="preserve">                     </w:t>
      </w:r>
      <w:r w:rsidRPr="00FF7CA3">
        <w:rPr>
          <w:rFonts w:ascii="Arial" w:hAnsi="Arial" w:cs="Arial"/>
        </w:rPr>
        <w:t>▼</w:t>
      </w:r>
    </w:p>
    <w:p w14:paraId="365366C7" w14:textId="77777777" w:rsidR="00FF7CA3" w:rsidRPr="00FF7CA3" w:rsidRDefault="00FF7CA3" w:rsidP="00FF7CA3">
      <w:r w:rsidRPr="00FF7CA3">
        <w:t xml:space="preserve">     ┌─────────────┐       ┌─────────────┐             ┌─────────────┐       ┌─────────────┐</w:t>
      </w:r>
    </w:p>
    <w:p w14:paraId="389AB6D6" w14:textId="77777777" w:rsidR="00FF7CA3" w:rsidRPr="00FF7CA3" w:rsidRDefault="00FF7CA3" w:rsidP="00FF7CA3">
      <w:r w:rsidRPr="00FF7CA3">
        <w:t xml:space="preserve">     </w:t>
      </w:r>
      <w:proofErr w:type="gramStart"/>
      <w:r w:rsidRPr="00FF7CA3">
        <w:t>│  Exonération</w:t>
      </w:r>
      <w:proofErr w:type="gramEnd"/>
      <w:r w:rsidRPr="00FF7CA3">
        <w:t>│       │ Prélèvement │             │ Exonération │       │ Intégration │</w:t>
      </w:r>
    </w:p>
    <w:p w14:paraId="226501B7" w14:textId="77777777" w:rsidR="00FF7CA3" w:rsidRPr="00FF7CA3" w:rsidRDefault="00FF7CA3" w:rsidP="00FF7CA3">
      <w:r w:rsidRPr="00FF7CA3">
        <w:t xml:space="preserve">     </w:t>
      </w:r>
      <w:proofErr w:type="gramStart"/>
      <w:r w:rsidRPr="00FF7CA3">
        <w:t>│  individuelle</w:t>
      </w:r>
      <w:proofErr w:type="gramEnd"/>
      <w:r w:rsidRPr="00FF7CA3">
        <w:t>│       │ art. 990 I  │             │   globale   │       │ art. 757 B  │</w:t>
      </w:r>
    </w:p>
    <w:p w14:paraId="17FF9862" w14:textId="77777777" w:rsidR="00FF7CA3" w:rsidRPr="00FF7CA3" w:rsidRDefault="00FF7CA3" w:rsidP="00FF7CA3">
      <w:r w:rsidRPr="00FF7CA3">
        <w:t xml:space="preserve">     └─────────────┘       └─────────────┘             └─────────────┘       └─────────────┘</w:t>
      </w:r>
    </w:p>
    <w:p w14:paraId="4385A558" w14:textId="77777777" w:rsidR="00FF7CA3" w:rsidRPr="00FF7CA3" w:rsidRDefault="00FF7CA3" w:rsidP="00FF7CA3">
      <w:r w:rsidRPr="00FF7CA3">
        <w:t xml:space="preserve">     - Jusqu'à 152 500 €   - Entre 152 500 €           - Jusqu'à 30 500 €    - Primes au-delà</w:t>
      </w:r>
    </w:p>
    <w:p w14:paraId="7924EE37" w14:textId="77777777" w:rsidR="00FF7CA3" w:rsidRPr="00FF7CA3" w:rsidRDefault="00FF7CA3" w:rsidP="00FF7CA3">
      <w:r w:rsidRPr="00FF7CA3">
        <w:t xml:space="preserve">       </w:t>
      </w:r>
      <w:proofErr w:type="gramStart"/>
      <w:r w:rsidRPr="00FF7CA3">
        <w:t>par</w:t>
      </w:r>
      <w:proofErr w:type="gramEnd"/>
      <w:r w:rsidRPr="00FF7CA3">
        <w:t xml:space="preserve"> bénéficiaire      et 852 500 € :              de primes           - Gains et intérêts</w:t>
      </w:r>
    </w:p>
    <w:p w14:paraId="18D3BE9A" w14:textId="77777777" w:rsidR="00FF7CA3" w:rsidRPr="00FF7CA3" w:rsidRDefault="00FF7CA3" w:rsidP="00FF7CA3">
      <w:r w:rsidRPr="00FF7CA3">
        <w:t xml:space="preserve">       [46, 47]        20 % [46, 47]      </w:t>
      </w:r>
      <w:proofErr w:type="gramStart"/>
      <w:r w:rsidRPr="00FF7CA3">
        <w:t xml:space="preserve">   [</w:t>
      </w:r>
      <w:proofErr w:type="gramEnd"/>
      <w:r w:rsidRPr="00FF7CA3">
        <w:t>46, 47]        intégralement</w:t>
      </w:r>
    </w:p>
    <w:p w14:paraId="0E43CEEC" w14:textId="77777777" w:rsidR="00FF7CA3" w:rsidRPr="00FF7CA3" w:rsidRDefault="00FF7CA3" w:rsidP="00FF7CA3">
      <w:r w:rsidRPr="00FF7CA3">
        <w:t xml:space="preserve">                           - Au-delà : 31,25 %                               exonérés</w:t>
      </w:r>
    </w:p>
    <w:p w14:paraId="5A65F752" w14:textId="77777777" w:rsidR="00FF7CA3" w:rsidRPr="00FF7CA3" w:rsidRDefault="00FF7CA3" w:rsidP="00FF7CA3">
      <w:r w:rsidRPr="00FF7CA3">
        <w:lastRenderedPageBreak/>
        <w:t xml:space="preserve">                             [46, 47]                                  </w:t>
      </w:r>
    </w:p>
    <w:p w14:paraId="14CDD87D" w14:textId="77777777" w:rsidR="00FF7CA3" w:rsidRPr="00FF7CA3" w:rsidRDefault="00FF7CA3" w:rsidP="00FF7CA3">
      <w:r w:rsidRPr="00FF7CA3">
        <w:t>L'article 990 I s'applique aux primes versées avant le 70ème anniversaire de l'assuré (sur des contrats souscrits depuis le 20 novembre 1991). Les capitaux décès (primes + intérêts) sont transmis avec un abattement individuel de 152 500 € par bénéficiaire désigné. Au-delà, un prélèvement de 20 % frappe la fraction taxable inférieure ou égale à 700 000 € (plafond de capital transmis de 852 500 €), taux porté à 31,25 % pour la fraction excédant ce seuil.   </w:t>
      </w:r>
    </w:p>
    <w:p w14:paraId="37F6E2C4" w14:textId="77777777" w:rsidR="00FF7CA3" w:rsidRPr="00FF7CA3" w:rsidRDefault="00FF7CA3" w:rsidP="00FF7CA3">
      <w:r w:rsidRPr="00FF7CA3">
        <w:t>Les contrats "Vie-Génération" éligibles bénéficient d'un abattement supplémentaire d'assiette de 20 % applicable avant l'abattement de 152 500 €, sous réserve de détenir au moins 33 % d'actifs investis dans des secteurs spécifiques (logement social, économie sociale et solidaire, capital-investissement).   </w:t>
      </w:r>
    </w:p>
    <w:p w14:paraId="15664B41" w14:textId="77777777" w:rsidR="00FF7CA3" w:rsidRPr="00FF7CA3" w:rsidRDefault="00FF7CA3" w:rsidP="00FF7CA3">
      <w:r w:rsidRPr="00FF7CA3">
        <w:t>L'article 757 B régit les primes versées après le 70ème anniversaire de l'assuré (sur des contrats souscrits depuis le 20 novembre 1991). Un unique abattement de 30 500 € s'applique sur l'ensemble des primes versées après 70 ans, à répartir entre tous les bénéficiaires au prorata de leurs droits successoraux. La fraction des primes supérieure à 30 500 € est réintégrée fiscalement dans l'actif successoral de l'assuré et taxée selon les droits de mutation classiques en fonction du lien de parenté entre le bénéficiaire et le défunt. Toutefois, l'ensemble des intérêts et plus-values générés par ces primes est intégralement exonéré de droits de succession.   </w:t>
      </w:r>
    </w:p>
    <w:p w14:paraId="1061AC1F" w14:textId="77777777" w:rsidR="00FF7CA3" w:rsidRPr="00FF7CA3" w:rsidRDefault="00FF7CA3" w:rsidP="00FF7CA3">
      <w:r w:rsidRPr="00FF7CA3">
        <w:t>Le conjoint survivant, le partenaire pacsé, ainsi que les frères et sœurs (sous conditions de cohabitation de 5 ans, d'âge supérieur à 50 ans ou d'invalidité) sont totalement exonérés de tout prélèvement décès ou droits de succession (Loi TEPA).   </w:t>
      </w:r>
    </w:p>
    <w:p w14:paraId="0E14DAE3" w14:textId="77777777" w:rsidR="00FF7CA3" w:rsidRPr="00FF7CA3" w:rsidRDefault="00FF7CA3" w:rsidP="00FF7CA3">
      <w:pPr>
        <w:rPr>
          <w:b/>
          <w:bCs/>
        </w:rPr>
      </w:pPr>
      <w:r w:rsidRPr="00FF7CA3">
        <w:rPr>
          <w:b/>
          <w:bCs/>
        </w:rPr>
        <w:t>IV. Fiscalité Financière Comparée et Épargne Réglementée</w:t>
      </w:r>
    </w:p>
    <w:p w14:paraId="511DDDBA" w14:textId="77777777" w:rsidR="00FF7CA3" w:rsidRPr="00FF7CA3" w:rsidRDefault="00FF7CA3" w:rsidP="00FF7CA3">
      <w:r w:rsidRPr="00FF7CA3">
        <w:t>L'optimisation des enveloppes de placement exige une intégration fine des taux de prélèvements financiers et des règles d'imposition spécifiques à chaque support en 2026.   </w:t>
      </w:r>
    </w:p>
    <w:p w14:paraId="01D0094F" w14:textId="77777777" w:rsidR="00FF7CA3" w:rsidRPr="00FF7CA3" w:rsidRDefault="00FF7CA3" w:rsidP="00FF7CA3">
      <w:pPr>
        <w:rPr>
          <w:b/>
          <w:bCs/>
        </w:rPr>
      </w:pPr>
      <w:r w:rsidRPr="00FF7CA3">
        <w:rPr>
          <w:b/>
          <w:bCs/>
        </w:rPr>
        <w:t>L'Épargne Réglementée : Sécurité, Liquidité et Rendements Nets</w:t>
      </w:r>
    </w:p>
    <w:p w14:paraId="2501BBEC" w14:textId="77777777" w:rsidR="00FF7CA3" w:rsidRPr="00FF7CA3" w:rsidRDefault="00FF7CA3" w:rsidP="00FF7CA3">
      <w:r w:rsidRPr="00FF7CA3">
        <w:t>L'épargne réglementée offre une franchise fiscale totale d'impôt sur le revenu et de prélèvements sociaux. Les rendements applicables en 2026 sont les suivants :   </w:t>
      </w:r>
    </w:p>
    <w:p w14:paraId="4E930442" w14:textId="77777777" w:rsidR="00FF7CA3" w:rsidRPr="00FF7CA3" w:rsidRDefault="00FF7CA3" w:rsidP="00FF7CA3">
      <w:pPr>
        <w:numPr>
          <w:ilvl w:val="0"/>
          <w:numId w:val="4"/>
        </w:numPr>
      </w:pPr>
      <w:r w:rsidRPr="00FF7CA3">
        <w:rPr>
          <w:b/>
          <w:bCs/>
        </w:rPr>
        <w:t>Livret A et LDDS</w:t>
      </w:r>
      <w:r w:rsidRPr="00FF7CA3">
        <w:t xml:space="preserve"> : Taux d'intérêt annuel fixé à 1,50 % depuis le 1er février 2026 (perspectives de révision à la hausse autour de 1,70 % à 1,80 % au 1er août 2026 selon la formule de calcul Banque de France indexée sur l'inflation et l'€STR). Le plafond du Livret A s'établit à 22 950 € et celui du LDDS à 12 000 €.   </w:t>
      </w:r>
    </w:p>
    <w:p w14:paraId="7917394E" w14:textId="77777777" w:rsidR="00FF7CA3" w:rsidRPr="00FF7CA3" w:rsidRDefault="00FF7CA3" w:rsidP="00FF7CA3">
      <w:pPr>
        <w:numPr>
          <w:ilvl w:val="0"/>
          <w:numId w:val="4"/>
        </w:numPr>
      </w:pPr>
      <w:r w:rsidRPr="00FF7CA3">
        <w:rPr>
          <w:b/>
          <w:bCs/>
        </w:rPr>
        <w:t>Livret d'Épargne Populaire (LEP)</w:t>
      </w:r>
      <w:r w:rsidRPr="00FF7CA3">
        <w:t xml:space="preserve"> : Rémunéré à 2,50 % depuis le 1er février 2026 (plafond de 10 000 €). Son accès est conditionné au respect d'un plafond de Revenu Fiscal de Référence (RFR) fixé à 22 823 € pour une part fiscale.   </w:t>
      </w:r>
    </w:p>
    <w:p w14:paraId="0AFE63AB" w14:textId="77777777" w:rsidR="00FF7CA3" w:rsidRPr="00FF7CA3" w:rsidRDefault="00FF7CA3" w:rsidP="00FF7CA3">
      <w:pPr>
        <w:numPr>
          <w:ilvl w:val="0"/>
          <w:numId w:val="4"/>
        </w:numPr>
      </w:pPr>
      <w:r w:rsidRPr="00FF7CA3">
        <w:rPr>
          <w:b/>
          <w:bCs/>
        </w:rPr>
        <w:t>Compte d'Épargne Logement (CEL)</w:t>
      </w:r>
      <w:r w:rsidRPr="00FF7CA3">
        <w:t xml:space="preserve"> : Taux fixé à 1,00 % depuis le 1er février 2026 (plafond de 15 300 €). Les intérêts des comptes ouverts depuis 2018 sont soumis au PFU de 30 % dès la première année.   </w:t>
      </w:r>
    </w:p>
    <w:p w14:paraId="5C425430" w14:textId="77777777" w:rsidR="00FF7CA3" w:rsidRPr="00FF7CA3" w:rsidRDefault="00FF7CA3" w:rsidP="00FF7CA3">
      <w:pPr>
        <w:numPr>
          <w:ilvl w:val="0"/>
          <w:numId w:val="4"/>
        </w:numPr>
      </w:pPr>
      <w:r w:rsidRPr="00FF7CA3">
        <w:rPr>
          <w:b/>
          <w:bCs/>
        </w:rPr>
        <w:t>Plan d'Épargne Logement (PEL)</w:t>
      </w:r>
      <w:r w:rsidRPr="00FF7CA3">
        <w:t xml:space="preserve"> : Les nouveaux plans ouverts depuis le 1er janvier 2026 garantissent un taux brut de 2,00 %, soit 1,40 % net après prélèvement forfaitaire de 30 %. Les PEL de moins de 12 ans ouverts avant 2018 demeurent exonérés d'impôt sur le revenu. Tout PEL a une durée de vie maximale fixée à 15 </w:t>
      </w:r>
      <w:proofErr w:type="gramStart"/>
      <w:r w:rsidRPr="00FF7CA3">
        <w:t>ans;</w:t>
      </w:r>
      <w:proofErr w:type="gramEnd"/>
      <w:r w:rsidRPr="00FF7CA3">
        <w:t xml:space="preserve"> ainsi, les plans ouverts en 2011 </w:t>
      </w:r>
      <w:r w:rsidRPr="00FF7CA3">
        <w:lastRenderedPageBreak/>
        <w:t>atteignent leur échéance finale en 2026, entraînant la clôture ou le passage sur compte ordinaire.   </w:t>
      </w:r>
    </w:p>
    <w:p w14:paraId="77A490B2" w14:textId="77777777" w:rsidR="00FF7CA3" w:rsidRPr="00FF7CA3" w:rsidRDefault="00FF7CA3" w:rsidP="00FF7CA3">
      <w:pPr>
        <w:rPr>
          <w:b/>
          <w:bCs/>
        </w:rPr>
      </w:pPr>
      <w:r w:rsidRPr="00FF7CA3">
        <w:rPr>
          <w:b/>
          <w:bCs/>
        </w:rPr>
        <w:t>Le Plan d'Épargne en Actions (PEA)</w:t>
      </w:r>
    </w:p>
    <w:p w14:paraId="7F500601" w14:textId="77777777" w:rsidR="00FF7CA3" w:rsidRPr="00FF7CA3" w:rsidRDefault="00FF7CA3" w:rsidP="00FF7CA3">
      <w:r w:rsidRPr="00FF7CA3">
        <w:t>Le PEA bénéficie d'une exonération d'impôt sur le revenu sur les gains réalisés après 5 ans de détention. Le plafond de versement est fixé à 150 000 € (et 225 000 € pour le PEA-PME). Le PEA Jeunes, destiné aux 18-25 ans rattachés au foyer fiscal parental, voit son plafond limité à 20 000 €.   </w:t>
      </w:r>
    </w:p>
    <w:p w14:paraId="3C03529E" w14:textId="77777777" w:rsidR="00FF7CA3" w:rsidRPr="00FF7CA3" w:rsidRDefault="00FF7CA3" w:rsidP="00FF7CA3">
      <w:pPr>
        <w:numPr>
          <w:ilvl w:val="0"/>
          <w:numId w:val="5"/>
        </w:numPr>
      </w:pPr>
      <w:r w:rsidRPr="00FF7CA3">
        <w:rPr>
          <w:b/>
          <w:bCs/>
        </w:rPr>
        <w:t>Retraits avant 5 ans</w:t>
      </w:r>
      <w:r w:rsidRPr="00FF7CA3">
        <w:t xml:space="preserve"> : Entraînent la clôture automatique du plan, sauf cas exceptionnels de licenciement ou d'invalidité de 2e ou 3e catégorie du titulaire ou de son conjoint, ou affectation des fonds sous 3 mois à la création/reprise d'entreprise. Les gains nets capitalisés sont imposés au PFU global de 31,4 % en 2026. Tout rachat partiel exceptionnel bloque définitivement la possibilité d'effectuer de nouveaux versements.   </w:t>
      </w:r>
    </w:p>
    <w:p w14:paraId="668553C8" w14:textId="77777777" w:rsidR="00FF7CA3" w:rsidRPr="00FF7CA3" w:rsidRDefault="00FF7CA3" w:rsidP="00FF7CA3">
      <w:pPr>
        <w:numPr>
          <w:ilvl w:val="0"/>
          <w:numId w:val="5"/>
        </w:numPr>
      </w:pPr>
      <w:r w:rsidRPr="00FF7CA3">
        <w:rPr>
          <w:b/>
          <w:bCs/>
        </w:rPr>
        <w:t>Retraits après 5 ans</w:t>
      </w:r>
      <w:r w:rsidRPr="00FF7CA3">
        <w:t xml:space="preserve"> : N'entraînent pas la clôture du plan et n'interdisent pas de nouveaux versements futurs dans la limite du plafond légal. Les gains réalisés sont totalement exonérés d'impôt sur le revenu. Ils supportent exclusivement les prélèvements sociaux au taux en vigueur au jour du retrait, soit </w:t>
      </w:r>
      <w:r w:rsidRPr="00FF7CA3">
        <w:rPr>
          <w:b/>
          <w:bCs/>
        </w:rPr>
        <w:t>18,6 %</w:t>
      </w:r>
      <w:r w:rsidRPr="00FF7CA3">
        <w:t xml:space="preserve"> en 2026.   </w:t>
      </w:r>
    </w:p>
    <w:p w14:paraId="23EC1E70" w14:textId="77777777" w:rsidR="00FF7CA3" w:rsidRPr="00FF7CA3" w:rsidRDefault="00FF7CA3" w:rsidP="00FF7CA3">
      <w:r w:rsidRPr="00FF7CA3">
        <w:t>Le calcul des gains lors d'un rachat partiel s'établit selon la règle du prorata sur la valeur liquidative globale du PEA :   </w:t>
      </w:r>
    </w:p>
    <w:p w14:paraId="34586F0D" w14:textId="77777777" w:rsidR="00FF7CA3" w:rsidRPr="00FF7CA3" w:rsidRDefault="00FF7CA3" w:rsidP="00FF7CA3">
      <w:r w:rsidRPr="00FF7CA3">
        <w:t>Gain Net Retireˊ=Montant Retireˊ</w:t>
      </w:r>
      <w:proofErr w:type="gramStart"/>
      <w:r w:rsidRPr="00FF7CA3">
        <w:t>×(</w:t>
      </w:r>
      <w:proofErr w:type="gramEnd"/>
      <w:r w:rsidRPr="00FF7CA3">
        <w:t>Valeur Liquidative du PlanGain Net Global du Plan​)</w:t>
      </w:r>
    </w:p>
    <w:p w14:paraId="3FA920B0" w14:textId="77777777" w:rsidR="00FF7CA3" w:rsidRPr="00FF7CA3" w:rsidRDefault="00FF7CA3" w:rsidP="00FF7CA3">
      <w:r w:rsidRPr="00FF7CA3">
        <w:t>   </w:t>
      </w:r>
    </w:p>
    <w:p w14:paraId="5657C70B" w14:textId="77777777" w:rsidR="00FF7CA3" w:rsidRPr="00FF7CA3" w:rsidRDefault="00FF7CA3" w:rsidP="00FF7CA3">
      <w:r w:rsidRPr="00FF7CA3">
        <w:t>Pour les titres non cotés logés dans un PEA, l'exonération d'impôt sur les dividendes reçus est légalement plafonnée chaque année à 10 % du montant d'acquisition de ces placements, la fraction supérieure étant taxable à 12,8 % d'IR plus prélèvements sociaux. En cas de décès du titulaire, les gains du PEA sont totalement exonérés d'impôt sur le revenu (même si le plan a moins de 5 ans), seuls les prélèvements sociaux de 18,6 % étant recouvrés lors du dénouement.   </w:t>
      </w:r>
    </w:p>
    <w:p w14:paraId="007BD94D" w14:textId="77777777" w:rsidR="00FF7CA3" w:rsidRPr="00FF7CA3" w:rsidRDefault="00FF7CA3" w:rsidP="00FF7CA3">
      <w:r w:rsidRPr="00FF7CA3">
        <w:t>La conversion du PEA en rente viagère après 5 ans offre une exonération totale d'impôt sur le revenu sur les arrérages servis. Toutefois, les prélèvements sociaux de 18,6 % s'appliquent sur une fraction de la rente déterminée selon l'âge au premier versement :   </w:t>
      </w:r>
    </w:p>
    <w:p w14:paraId="2A4C0C75" w14:textId="021B87BB" w:rsidR="00FF7CA3" w:rsidRPr="00FF7CA3" w:rsidRDefault="00FF7CA3" w:rsidP="00FF7CA3">
      <w:proofErr w:type="spellStart"/>
      <w:r w:rsidRPr="00FF7CA3">
        <w:rPr>
          <w:i/>
          <w:iCs/>
        </w:rPr>
        <w:t>F</w:t>
      </w:r>
      <w:r w:rsidRPr="00FF7CA3">
        <w:t>imposable</w:t>
      </w:r>
      <w:proofErr w:type="spellEnd"/>
      <w:r w:rsidRPr="00FF7CA3">
        <w:t>​=</w:t>
      </w:r>
      <w:r w:rsidRPr="00FF7CA3">
        <w:rPr>
          <w:rFonts w:ascii="Cambria Math" w:hAnsi="Cambria Math" w:cs="Cambria Math"/>
        </w:rPr>
        <w:t>⎩</w:t>
      </w:r>
      <w:r w:rsidRPr="00FF7CA3">
        <mc:AlternateContent>
          <mc:Choice Requires="wps">
            <w:drawing>
              <wp:inline distT="0" distB="0" distL="0" distR="0" wp14:anchorId="036B6EB3" wp14:editId="5C92AD9F">
                <wp:extent cx="304800" cy="3048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1BE9BD"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F7CA3">
        <w:rPr>
          <w:rFonts w:ascii="Cambria Math" w:hAnsi="Cambria Math" w:cs="Cambria Math"/>
        </w:rPr>
        <w:t>⎨</w:t>
      </w:r>
      <w:r w:rsidRPr="00FF7CA3">
        <mc:AlternateContent>
          <mc:Choice Requires="wps">
            <w:drawing>
              <wp:inline distT="0" distB="0" distL="0" distR="0" wp14:anchorId="4B827F5A" wp14:editId="45627A3C">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C17737"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F7CA3">
        <w:rPr>
          <w:rFonts w:ascii="Cambria Math" w:hAnsi="Cambria Math" w:cs="Cambria Math"/>
        </w:rPr>
        <w:t>⎧</w:t>
      </w:r>
      <w:r w:rsidRPr="00FF7CA3">
        <w:t>​70%50%40%30%​si Aˆge&lt;50 anssi 50≤Aˆge≤59 anssi 60≤Aˆge≤69 anssi Aˆge≥70 ans​</w:t>
      </w:r>
    </w:p>
    <w:p w14:paraId="4286A1CC" w14:textId="77777777" w:rsidR="00FF7CA3" w:rsidRPr="00FF7CA3" w:rsidRDefault="00FF7CA3" w:rsidP="00FF7CA3">
      <w:r w:rsidRPr="00FF7CA3">
        <w:t>   </w:t>
      </w:r>
    </w:p>
    <w:p w14:paraId="41F9E46A" w14:textId="77777777" w:rsidR="00FF7CA3" w:rsidRPr="00FF7CA3" w:rsidRDefault="00FF7CA3" w:rsidP="00FF7CA3">
      <w:r w:rsidRPr="00FF7CA3">
        <w:t>La liquidation des prélèvements sociaux sur les PEA ouverts avant 2018 obéit au mécanisme complexe des "taux historiques" ou par strates, appliquant le taux social en vigueur au moment de la constatation réelle des gains intermédiaires (15,5 % pour les gains acquis jusqu'au 31 décembre 2017, 17,2 % de 2018 à 2025, et 18,6 % depuis le 1er janvier 2026).   </w:t>
      </w:r>
    </w:p>
    <w:p w14:paraId="2ABC9BD0" w14:textId="77777777" w:rsidR="00FF7CA3" w:rsidRPr="00FF7CA3" w:rsidRDefault="00FF7CA3" w:rsidP="00FF7CA3">
      <w:pPr>
        <w:rPr>
          <w:b/>
          <w:bCs/>
        </w:rPr>
      </w:pPr>
      <w:r w:rsidRPr="00FF7CA3">
        <w:rPr>
          <w:b/>
          <w:bCs/>
        </w:rPr>
        <w:t>Le Compte-Titres Ordinaire (CTO)</w:t>
      </w:r>
    </w:p>
    <w:p w14:paraId="20B24438" w14:textId="77777777" w:rsidR="00FF7CA3" w:rsidRPr="00FF7CA3" w:rsidRDefault="00FF7CA3" w:rsidP="00FF7CA3">
      <w:r w:rsidRPr="00FF7CA3">
        <w:t xml:space="preserve">Le CTO subit l'application de plein droit du PFU global de 31,4 % en 2026 (12,8 % d'IR et 18,6 % de prélèvements sociaux) sur les dividendes distribués et les plus-values réelles de cession. L'option globale pour le barème progressif de l'IR (case 2OP) permet l'application d'un abattement d'assiette </w:t>
      </w:r>
      <w:r w:rsidRPr="00FF7CA3">
        <w:lastRenderedPageBreak/>
        <w:t>de 40 % sur les dividendes d'actions éligibles, la déductibilité de la CSG à hauteur de 6,8 % sur les revenus de l'année suivante, et la déduction des frais réels de garde des titres.   </w:t>
      </w:r>
    </w:p>
    <w:p w14:paraId="71EFE105" w14:textId="77777777" w:rsidR="00FF7CA3" w:rsidRPr="00FF7CA3" w:rsidRDefault="00FF7CA3" w:rsidP="00FF7CA3">
      <w:r w:rsidRPr="00FF7CA3">
        <w:t xml:space="preserve">Les moins-values constatées lors des cessions d'actifs financiers s'imputent exclusivement sur les plus-values de même nature réalisées au cours de la même année ou des dix années suivantes. Les abattements pour </w:t>
      </w:r>
      <w:proofErr w:type="spellStart"/>
      <w:r w:rsidRPr="00FF7CA3">
        <w:t>durée</w:t>
      </w:r>
      <w:proofErr w:type="spellEnd"/>
      <w:r w:rsidRPr="00FF7CA3">
        <w:t xml:space="preserve"> de détention de droit commun (50 % pour les titres détenus entre 2 et 8 ans, 65 % au-delà de 8 ans) demeurent applicables sous condition d'option pour le barème de l'IR, mais uniquement pour les titres acquis avant le 1er janvier 2018.   </w:t>
      </w:r>
    </w:p>
    <w:p w14:paraId="1A98845D" w14:textId="77777777" w:rsidR="00FF7CA3" w:rsidRPr="00FF7CA3" w:rsidRDefault="00FF7CA3" w:rsidP="00FF7CA3">
      <w:pPr>
        <w:rPr>
          <w:b/>
          <w:bCs/>
        </w:rPr>
      </w:pPr>
      <w:r w:rsidRPr="00FF7CA3">
        <w:rPr>
          <w:b/>
          <w:bCs/>
        </w:rPr>
        <w:t>Le Plan d'Épargne Retraite (PER)</w:t>
      </w:r>
    </w:p>
    <w:p w14:paraId="681AADE3" w14:textId="77777777" w:rsidR="00FF7CA3" w:rsidRPr="00FF7CA3" w:rsidRDefault="00FF7CA3" w:rsidP="00FF7CA3">
      <w:r w:rsidRPr="00FF7CA3">
        <w:t>Le PER individuel (Compartiment 1) se caractérise par la déductibilité à l'entrée des versements volontaires du revenu global imposable.   </w:t>
      </w:r>
    </w:p>
    <w:p w14:paraId="628DCFF4" w14:textId="77777777" w:rsidR="00FF7CA3" w:rsidRPr="00FF7CA3" w:rsidRDefault="00FF7CA3" w:rsidP="00FF7CA3">
      <w:pPr>
        <w:numPr>
          <w:ilvl w:val="0"/>
          <w:numId w:val="6"/>
        </w:numPr>
      </w:pPr>
      <w:r w:rsidRPr="00FF7CA3">
        <w:rPr>
          <w:b/>
          <w:bCs/>
        </w:rPr>
        <w:t>Plafonds de déduction (Salariés)</w:t>
      </w:r>
      <w:r w:rsidRPr="00FF7CA3">
        <w:t xml:space="preserve"> : Limite annuelle égale au plus élevé des deux montants suivants : 10 % des revenus d'activité professionnels nets de l'année précédente (plafonnés à 10 % de 8 fois le PASS de l'année antérieure, soit 37 680 € calculés sur le PASS 2025 de 47 100 €) ou 10 % du PASS de l'année précédente soit 4 710 €.   </w:t>
      </w:r>
    </w:p>
    <w:p w14:paraId="756FB275" w14:textId="77777777" w:rsidR="00FF7CA3" w:rsidRPr="00FF7CA3" w:rsidRDefault="00FF7CA3" w:rsidP="00FF7CA3">
      <w:pPr>
        <w:numPr>
          <w:ilvl w:val="0"/>
          <w:numId w:val="6"/>
        </w:numPr>
      </w:pPr>
      <w:r w:rsidRPr="00FF7CA3">
        <w:rPr>
          <w:b/>
          <w:bCs/>
        </w:rPr>
        <w:t>Plafonds de déduction (TNS)</w:t>
      </w:r>
      <w:r w:rsidRPr="00FF7CA3">
        <w:t xml:space="preserve"> : Limite de déduction égale à 10 % du bénéfice imposable (dans la limite de 8 PASS 2026 de 48 060 €) majorée de 15 % de la fraction du bénéfice comprise entre 1 et 8 PASS. Le plafond de déduction maximal s'établit à 88 911 € pour l'exercice 2026.   </w:t>
      </w:r>
    </w:p>
    <w:p w14:paraId="591E2525" w14:textId="77777777" w:rsidR="00FF7CA3" w:rsidRPr="00FF7CA3" w:rsidRDefault="00FF7CA3" w:rsidP="00FF7CA3">
      <w:r w:rsidRPr="00FF7CA3">
        <w:t>Les enveloppes non consommées sont reportables sur les 5 années suivantes pour les plafonds générés à compter de 2026 (le report restant fixé à 3 ans pour les plafonds antérieurs). Les versements de mineurs sur un PER individuel sont strictement interdits.   </w:t>
      </w:r>
    </w:p>
    <w:p w14:paraId="7483D2FB" w14:textId="77777777" w:rsidR="00FF7CA3" w:rsidRPr="00FF7CA3" w:rsidRDefault="00FF7CA3" w:rsidP="00FF7CA3">
      <w:r w:rsidRPr="00FF7CA3">
        <w:t>La fiscalité à la sortie dépend de l'option de déduction exercée à l'entrée :   </w:t>
      </w:r>
    </w:p>
    <w:tbl>
      <w:tblPr>
        <w:tblW w:w="1127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349"/>
        <w:gridCol w:w="1986"/>
        <w:gridCol w:w="3951"/>
        <w:gridCol w:w="3990"/>
      </w:tblGrid>
      <w:tr w:rsidR="00FF7CA3" w:rsidRPr="00FF7CA3" w14:paraId="10E33D5B" w14:textId="77777777" w:rsidTr="00FF7CA3">
        <w:trPr>
          <w:tblHeader/>
          <w:tblCellSpacing w:w="15" w:type="dxa"/>
        </w:trPr>
        <w:tc>
          <w:tcPr>
            <w:tcW w:w="0" w:type="auto"/>
            <w:shd w:val="clear" w:color="auto" w:fill="282A2C"/>
            <w:tcMar>
              <w:top w:w="120" w:type="dxa"/>
              <w:left w:w="180" w:type="dxa"/>
              <w:bottom w:w="120" w:type="dxa"/>
              <w:right w:w="180" w:type="dxa"/>
            </w:tcMar>
            <w:hideMark/>
          </w:tcPr>
          <w:p w14:paraId="0041DF86" w14:textId="77777777" w:rsidR="00FF7CA3" w:rsidRPr="00FF7CA3" w:rsidRDefault="00FF7CA3" w:rsidP="00FF7CA3">
            <w:pPr>
              <w:rPr>
                <w:b/>
                <w:bCs/>
              </w:rPr>
            </w:pPr>
            <w:r w:rsidRPr="00FF7CA3">
              <w:rPr>
                <w:b/>
                <w:bCs/>
              </w:rPr>
              <w:t>Mode de Sortie</w:t>
            </w:r>
          </w:p>
        </w:tc>
        <w:tc>
          <w:tcPr>
            <w:tcW w:w="0" w:type="auto"/>
            <w:shd w:val="clear" w:color="auto" w:fill="282A2C"/>
            <w:tcMar>
              <w:top w:w="120" w:type="dxa"/>
              <w:left w:w="180" w:type="dxa"/>
              <w:bottom w:w="120" w:type="dxa"/>
              <w:right w:w="180" w:type="dxa"/>
            </w:tcMar>
            <w:hideMark/>
          </w:tcPr>
          <w:p w14:paraId="7A28C05D" w14:textId="77777777" w:rsidR="00FF7CA3" w:rsidRPr="00FF7CA3" w:rsidRDefault="00FF7CA3" w:rsidP="00FF7CA3">
            <w:pPr>
              <w:rPr>
                <w:b/>
                <w:bCs/>
              </w:rPr>
            </w:pPr>
            <w:r w:rsidRPr="00FF7CA3">
              <w:rPr>
                <w:b/>
                <w:bCs/>
              </w:rPr>
              <w:t>Option Déduction à l'Entrée</w:t>
            </w:r>
          </w:p>
        </w:tc>
        <w:tc>
          <w:tcPr>
            <w:tcW w:w="0" w:type="auto"/>
            <w:shd w:val="clear" w:color="auto" w:fill="282A2C"/>
            <w:tcMar>
              <w:top w:w="120" w:type="dxa"/>
              <w:left w:w="180" w:type="dxa"/>
              <w:bottom w:w="120" w:type="dxa"/>
              <w:right w:w="180" w:type="dxa"/>
            </w:tcMar>
            <w:hideMark/>
          </w:tcPr>
          <w:p w14:paraId="0868A1D5" w14:textId="77777777" w:rsidR="00FF7CA3" w:rsidRPr="00FF7CA3" w:rsidRDefault="00FF7CA3" w:rsidP="00FF7CA3">
            <w:pPr>
              <w:rPr>
                <w:b/>
                <w:bCs/>
              </w:rPr>
            </w:pPr>
            <w:r w:rsidRPr="00FF7CA3">
              <w:rPr>
                <w:b/>
                <w:bCs/>
              </w:rPr>
              <w:t>Traitement Fiscal et Social de la Part de Capital</w:t>
            </w:r>
          </w:p>
        </w:tc>
        <w:tc>
          <w:tcPr>
            <w:tcW w:w="0" w:type="auto"/>
            <w:shd w:val="clear" w:color="auto" w:fill="282A2C"/>
            <w:tcMar>
              <w:top w:w="120" w:type="dxa"/>
              <w:left w:w="180" w:type="dxa"/>
              <w:bottom w:w="120" w:type="dxa"/>
              <w:right w:w="180" w:type="dxa"/>
            </w:tcMar>
            <w:hideMark/>
          </w:tcPr>
          <w:p w14:paraId="31151569" w14:textId="77777777" w:rsidR="00FF7CA3" w:rsidRPr="00FF7CA3" w:rsidRDefault="00FF7CA3" w:rsidP="00FF7CA3">
            <w:pPr>
              <w:rPr>
                <w:b/>
                <w:bCs/>
              </w:rPr>
            </w:pPr>
            <w:r w:rsidRPr="00FF7CA3">
              <w:rPr>
                <w:b/>
                <w:bCs/>
              </w:rPr>
              <w:t>Traitement Fiscal et Social de la Part des Gains</w:t>
            </w:r>
          </w:p>
        </w:tc>
      </w:tr>
      <w:tr w:rsidR="00FF7CA3" w:rsidRPr="00FF7CA3" w14:paraId="1DDFF722" w14:textId="77777777" w:rsidTr="00FF7CA3">
        <w:trPr>
          <w:tblCellSpacing w:w="15" w:type="dxa"/>
        </w:trPr>
        <w:tc>
          <w:tcPr>
            <w:tcW w:w="0" w:type="auto"/>
            <w:shd w:val="clear" w:color="auto" w:fill="1B1B1B"/>
            <w:tcMar>
              <w:top w:w="120" w:type="dxa"/>
              <w:left w:w="180" w:type="dxa"/>
              <w:bottom w:w="120" w:type="dxa"/>
              <w:right w:w="180" w:type="dxa"/>
            </w:tcMar>
            <w:hideMark/>
          </w:tcPr>
          <w:p w14:paraId="78B58839" w14:textId="77777777" w:rsidR="00FF7CA3" w:rsidRPr="00FF7CA3" w:rsidRDefault="00FF7CA3" w:rsidP="00FF7CA3">
            <w:r w:rsidRPr="00FF7CA3">
              <w:rPr>
                <w:b/>
                <w:bCs/>
              </w:rPr>
              <w:t>Sortie en Capital</w:t>
            </w:r>
          </w:p>
        </w:tc>
        <w:tc>
          <w:tcPr>
            <w:tcW w:w="0" w:type="auto"/>
            <w:shd w:val="clear" w:color="auto" w:fill="1B1B1B"/>
            <w:tcMar>
              <w:top w:w="120" w:type="dxa"/>
              <w:left w:w="180" w:type="dxa"/>
              <w:bottom w:w="120" w:type="dxa"/>
              <w:right w:w="180" w:type="dxa"/>
            </w:tcMar>
            <w:hideMark/>
          </w:tcPr>
          <w:p w14:paraId="6737ED70" w14:textId="77777777" w:rsidR="00FF7CA3" w:rsidRPr="00FF7CA3" w:rsidRDefault="00FF7CA3" w:rsidP="00FF7CA3">
            <w:r w:rsidRPr="00FF7CA3">
              <w:rPr>
                <w:b/>
                <w:bCs/>
              </w:rPr>
              <w:t>Versements Déduits</w:t>
            </w:r>
          </w:p>
        </w:tc>
        <w:tc>
          <w:tcPr>
            <w:tcW w:w="0" w:type="auto"/>
            <w:shd w:val="clear" w:color="auto" w:fill="1B1B1B"/>
            <w:tcMar>
              <w:top w:w="120" w:type="dxa"/>
              <w:left w:w="180" w:type="dxa"/>
              <w:bottom w:w="120" w:type="dxa"/>
              <w:right w:w="180" w:type="dxa"/>
            </w:tcMar>
            <w:hideMark/>
          </w:tcPr>
          <w:p w14:paraId="679CCFE8" w14:textId="77777777" w:rsidR="00FF7CA3" w:rsidRPr="00FF7CA3" w:rsidRDefault="00FF7CA3" w:rsidP="00FF7CA3">
            <w:r w:rsidRPr="00FF7CA3">
              <w:t>Soumise au barème progressif de l'IR sans abattement de 10 %.</w:t>
            </w:r>
          </w:p>
        </w:tc>
        <w:tc>
          <w:tcPr>
            <w:tcW w:w="0" w:type="auto"/>
            <w:shd w:val="clear" w:color="auto" w:fill="1B1B1B"/>
            <w:tcMar>
              <w:top w:w="120" w:type="dxa"/>
              <w:left w:w="180" w:type="dxa"/>
              <w:bottom w:w="120" w:type="dxa"/>
              <w:right w:w="180" w:type="dxa"/>
            </w:tcMar>
            <w:hideMark/>
          </w:tcPr>
          <w:p w14:paraId="05E0D88B" w14:textId="77777777" w:rsidR="00FF7CA3" w:rsidRPr="00FF7CA3" w:rsidRDefault="00FF7CA3" w:rsidP="00FF7CA3">
            <w:r w:rsidRPr="00FF7CA3">
              <w:t>Soumise au PFU financier global de 31,4 %.</w:t>
            </w:r>
          </w:p>
        </w:tc>
      </w:tr>
      <w:tr w:rsidR="00FF7CA3" w:rsidRPr="00FF7CA3" w14:paraId="5AD1F390" w14:textId="77777777" w:rsidTr="00FF7CA3">
        <w:trPr>
          <w:tblCellSpacing w:w="15" w:type="dxa"/>
        </w:trPr>
        <w:tc>
          <w:tcPr>
            <w:tcW w:w="0" w:type="auto"/>
            <w:shd w:val="clear" w:color="auto" w:fill="1B1B1B"/>
            <w:tcMar>
              <w:top w:w="120" w:type="dxa"/>
              <w:left w:w="180" w:type="dxa"/>
              <w:bottom w:w="120" w:type="dxa"/>
              <w:right w:w="180" w:type="dxa"/>
            </w:tcMar>
            <w:hideMark/>
          </w:tcPr>
          <w:p w14:paraId="34189464" w14:textId="77777777" w:rsidR="00FF7CA3" w:rsidRPr="00FF7CA3" w:rsidRDefault="00FF7CA3" w:rsidP="00FF7CA3">
            <w:r w:rsidRPr="00FF7CA3">
              <w:rPr>
                <w:b/>
                <w:bCs/>
              </w:rPr>
              <w:t>Sortie en Capital</w:t>
            </w:r>
          </w:p>
        </w:tc>
        <w:tc>
          <w:tcPr>
            <w:tcW w:w="0" w:type="auto"/>
            <w:shd w:val="clear" w:color="auto" w:fill="1B1B1B"/>
            <w:tcMar>
              <w:top w:w="120" w:type="dxa"/>
              <w:left w:w="180" w:type="dxa"/>
              <w:bottom w:w="120" w:type="dxa"/>
              <w:right w:w="180" w:type="dxa"/>
            </w:tcMar>
            <w:hideMark/>
          </w:tcPr>
          <w:p w14:paraId="2E018D48" w14:textId="77777777" w:rsidR="00FF7CA3" w:rsidRPr="00FF7CA3" w:rsidRDefault="00FF7CA3" w:rsidP="00FF7CA3">
            <w:r w:rsidRPr="00FF7CA3">
              <w:rPr>
                <w:b/>
                <w:bCs/>
              </w:rPr>
              <w:t>Versements Non Déduits</w:t>
            </w:r>
          </w:p>
        </w:tc>
        <w:tc>
          <w:tcPr>
            <w:tcW w:w="0" w:type="auto"/>
            <w:shd w:val="clear" w:color="auto" w:fill="1B1B1B"/>
            <w:tcMar>
              <w:top w:w="120" w:type="dxa"/>
              <w:left w:w="180" w:type="dxa"/>
              <w:bottom w:w="120" w:type="dxa"/>
              <w:right w:w="180" w:type="dxa"/>
            </w:tcMar>
            <w:hideMark/>
          </w:tcPr>
          <w:p w14:paraId="0C95CB8A" w14:textId="77777777" w:rsidR="00FF7CA3" w:rsidRPr="00FF7CA3" w:rsidRDefault="00FF7CA3" w:rsidP="00FF7CA3">
            <w:r w:rsidRPr="00FF7CA3">
              <w:t>Totalement exonérée d'impôt sur le revenu et de charges sociales.</w:t>
            </w:r>
          </w:p>
        </w:tc>
        <w:tc>
          <w:tcPr>
            <w:tcW w:w="0" w:type="auto"/>
            <w:shd w:val="clear" w:color="auto" w:fill="1B1B1B"/>
            <w:tcMar>
              <w:top w:w="120" w:type="dxa"/>
              <w:left w:w="180" w:type="dxa"/>
              <w:bottom w:w="120" w:type="dxa"/>
              <w:right w:w="180" w:type="dxa"/>
            </w:tcMar>
            <w:hideMark/>
          </w:tcPr>
          <w:p w14:paraId="69AE3270" w14:textId="77777777" w:rsidR="00FF7CA3" w:rsidRPr="00FF7CA3" w:rsidRDefault="00FF7CA3" w:rsidP="00FF7CA3">
            <w:r w:rsidRPr="00FF7CA3">
              <w:t>Soumise au PFU financier global de 31,4 %.</w:t>
            </w:r>
          </w:p>
        </w:tc>
      </w:tr>
      <w:tr w:rsidR="00FF7CA3" w:rsidRPr="00FF7CA3" w14:paraId="26A99C3E" w14:textId="77777777" w:rsidTr="00FF7CA3">
        <w:trPr>
          <w:tblCellSpacing w:w="15" w:type="dxa"/>
        </w:trPr>
        <w:tc>
          <w:tcPr>
            <w:tcW w:w="0" w:type="auto"/>
            <w:shd w:val="clear" w:color="auto" w:fill="1B1B1B"/>
            <w:tcMar>
              <w:top w:w="120" w:type="dxa"/>
              <w:left w:w="180" w:type="dxa"/>
              <w:bottom w:w="120" w:type="dxa"/>
              <w:right w:w="180" w:type="dxa"/>
            </w:tcMar>
            <w:hideMark/>
          </w:tcPr>
          <w:p w14:paraId="4379C556" w14:textId="77777777" w:rsidR="00FF7CA3" w:rsidRPr="00FF7CA3" w:rsidRDefault="00FF7CA3" w:rsidP="00FF7CA3">
            <w:r w:rsidRPr="00FF7CA3">
              <w:rPr>
                <w:b/>
                <w:bCs/>
              </w:rPr>
              <w:t>Sortie en Rente</w:t>
            </w:r>
          </w:p>
        </w:tc>
        <w:tc>
          <w:tcPr>
            <w:tcW w:w="0" w:type="auto"/>
            <w:shd w:val="clear" w:color="auto" w:fill="1B1B1B"/>
            <w:tcMar>
              <w:top w:w="120" w:type="dxa"/>
              <w:left w:w="180" w:type="dxa"/>
              <w:bottom w:w="120" w:type="dxa"/>
              <w:right w:w="180" w:type="dxa"/>
            </w:tcMar>
            <w:hideMark/>
          </w:tcPr>
          <w:p w14:paraId="31944EE8" w14:textId="77777777" w:rsidR="00FF7CA3" w:rsidRPr="00FF7CA3" w:rsidRDefault="00FF7CA3" w:rsidP="00FF7CA3">
            <w:r w:rsidRPr="00FF7CA3">
              <w:rPr>
                <w:b/>
                <w:bCs/>
              </w:rPr>
              <w:t>Versements Déduits</w:t>
            </w:r>
          </w:p>
        </w:tc>
        <w:tc>
          <w:tcPr>
            <w:tcW w:w="0" w:type="auto"/>
            <w:shd w:val="clear" w:color="auto" w:fill="1B1B1B"/>
            <w:tcMar>
              <w:top w:w="120" w:type="dxa"/>
              <w:left w:w="180" w:type="dxa"/>
              <w:bottom w:w="120" w:type="dxa"/>
              <w:right w:w="180" w:type="dxa"/>
            </w:tcMar>
            <w:hideMark/>
          </w:tcPr>
          <w:p w14:paraId="21A3EBE1" w14:textId="77777777" w:rsidR="00FF7CA3" w:rsidRPr="00FF7CA3" w:rsidRDefault="00FF7CA3" w:rsidP="00FF7CA3">
            <w:r w:rsidRPr="00FF7CA3">
              <w:t>Rente imposable selon les règles des pensions de retraite (abattement de 10 % plafonné).</w:t>
            </w:r>
          </w:p>
        </w:tc>
        <w:tc>
          <w:tcPr>
            <w:tcW w:w="0" w:type="auto"/>
            <w:shd w:val="clear" w:color="auto" w:fill="1B1B1B"/>
            <w:tcMar>
              <w:top w:w="120" w:type="dxa"/>
              <w:left w:w="180" w:type="dxa"/>
              <w:bottom w:w="120" w:type="dxa"/>
              <w:right w:w="180" w:type="dxa"/>
            </w:tcMar>
            <w:hideMark/>
          </w:tcPr>
          <w:p w14:paraId="289CE929" w14:textId="77777777" w:rsidR="00FF7CA3" w:rsidRPr="00FF7CA3" w:rsidRDefault="00FF7CA3" w:rsidP="00FF7CA3">
            <w:r w:rsidRPr="00FF7CA3">
              <w:t>Prélèvements sociaux de 18,6 % s'appliquant sur la fraction imposable RVTO selon l'âge.</w:t>
            </w:r>
          </w:p>
        </w:tc>
      </w:tr>
      <w:tr w:rsidR="00FF7CA3" w:rsidRPr="00FF7CA3" w14:paraId="7A7C7767" w14:textId="77777777" w:rsidTr="00FF7CA3">
        <w:trPr>
          <w:tblCellSpacing w:w="15" w:type="dxa"/>
        </w:trPr>
        <w:tc>
          <w:tcPr>
            <w:tcW w:w="0" w:type="auto"/>
            <w:shd w:val="clear" w:color="auto" w:fill="1B1B1B"/>
            <w:tcMar>
              <w:top w:w="120" w:type="dxa"/>
              <w:left w:w="180" w:type="dxa"/>
              <w:bottom w:w="120" w:type="dxa"/>
              <w:right w:w="180" w:type="dxa"/>
            </w:tcMar>
            <w:hideMark/>
          </w:tcPr>
          <w:p w14:paraId="53DBC1E7" w14:textId="77777777" w:rsidR="00FF7CA3" w:rsidRPr="00FF7CA3" w:rsidRDefault="00FF7CA3" w:rsidP="00FF7CA3">
            <w:r w:rsidRPr="00FF7CA3">
              <w:rPr>
                <w:b/>
                <w:bCs/>
              </w:rPr>
              <w:t>Sortie en Rente</w:t>
            </w:r>
          </w:p>
        </w:tc>
        <w:tc>
          <w:tcPr>
            <w:tcW w:w="0" w:type="auto"/>
            <w:shd w:val="clear" w:color="auto" w:fill="1B1B1B"/>
            <w:tcMar>
              <w:top w:w="120" w:type="dxa"/>
              <w:left w:w="180" w:type="dxa"/>
              <w:bottom w:w="120" w:type="dxa"/>
              <w:right w:w="180" w:type="dxa"/>
            </w:tcMar>
            <w:hideMark/>
          </w:tcPr>
          <w:p w14:paraId="30AA8A6B" w14:textId="77777777" w:rsidR="00FF7CA3" w:rsidRPr="00FF7CA3" w:rsidRDefault="00FF7CA3" w:rsidP="00FF7CA3">
            <w:r w:rsidRPr="00FF7CA3">
              <w:rPr>
                <w:b/>
                <w:bCs/>
              </w:rPr>
              <w:t>Versements Non Déduits</w:t>
            </w:r>
          </w:p>
        </w:tc>
        <w:tc>
          <w:tcPr>
            <w:tcW w:w="0" w:type="auto"/>
            <w:shd w:val="clear" w:color="auto" w:fill="1B1B1B"/>
            <w:tcMar>
              <w:top w:w="120" w:type="dxa"/>
              <w:left w:w="180" w:type="dxa"/>
              <w:bottom w:w="120" w:type="dxa"/>
              <w:right w:w="180" w:type="dxa"/>
            </w:tcMar>
            <w:hideMark/>
          </w:tcPr>
          <w:p w14:paraId="198CF9FF" w14:textId="77777777" w:rsidR="00FF7CA3" w:rsidRPr="00FF7CA3" w:rsidRDefault="00FF7CA3" w:rsidP="00FF7CA3">
            <w:r w:rsidRPr="00FF7CA3">
              <w:t>Rente soumise au régime fiscal des Rentes Viagères à Titre Onéreux (RVTO).</w:t>
            </w:r>
          </w:p>
        </w:tc>
        <w:tc>
          <w:tcPr>
            <w:tcW w:w="0" w:type="auto"/>
            <w:shd w:val="clear" w:color="auto" w:fill="1B1B1B"/>
            <w:tcMar>
              <w:top w:w="120" w:type="dxa"/>
              <w:left w:w="180" w:type="dxa"/>
              <w:bottom w:w="120" w:type="dxa"/>
              <w:right w:w="180" w:type="dxa"/>
            </w:tcMar>
            <w:hideMark/>
          </w:tcPr>
          <w:p w14:paraId="505F7E48" w14:textId="77777777" w:rsidR="00FF7CA3" w:rsidRPr="00FF7CA3" w:rsidRDefault="00FF7CA3" w:rsidP="00FF7CA3">
            <w:r w:rsidRPr="00FF7CA3">
              <w:t>IR et prélèvements sociaux de 18,6 % s'appliquant sur la fraction imposable selon l'âge.</w:t>
            </w:r>
          </w:p>
        </w:tc>
      </w:tr>
    </w:tbl>
    <w:p w14:paraId="13FDB62A" w14:textId="77777777" w:rsidR="00FF7CA3" w:rsidRPr="00FF7CA3" w:rsidRDefault="00FF7CA3" w:rsidP="00FF7CA3">
      <w:r w:rsidRPr="00FF7CA3">
        <w:t>  </w:t>
      </w:r>
    </w:p>
    <w:p w14:paraId="07421399" w14:textId="77777777" w:rsidR="00FF7CA3" w:rsidRPr="00FF7CA3" w:rsidRDefault="00FF7CA3" w:rsidP="00FF7CA3">
      <w:r w:rsidRPr="00FF7CA3">
        <w:lastRenderedPageBreak/>
        <w:t>Pour atténuer l'impact du barème de l'IR lors d'un rachat en capital unique d'un PER ayant bénéficié de la déduction, le titulaire peut opter pour l'application du système du quotient, permettant de lisser l'impôt dû sur une seule année d'imposition.   </w:t>
      </w:r>
    </w:p>
    <w:p w14:paraId="0CF679C0" w14:textId="77777777" w:rsidR="00FF7CA3" w:rsidRPr="00FF7CA3" w:rsidRDefault="00FF7CA3" w:rsidP="00FF7CA3">
      <w:r w:rsidRPr="00FF7CA3">
        <w:t>En matière de rentes viagères issues de PER, le taux de CSG applicable sur la fraction imposable s'élève à 10,6 % (taux majoré) pour les rentes des versements volontaires (Compartiment 1) et de l'épargne salariale (Compartiment 2), tandis que les rentes issues de versements obligatoires d'entreprise (Compartiment 3) demeurent soumises au taux social des revenus de remplacement fixé à 8,3 %.   </w:t>
      </w:r>
    </w:p>
    <w:p w14:paraId="66A971D2" w14:textId="77777777" w:rsidR="00FF7CA3" w:rsidRPr="00FF7CA3" w:rsidRDefault="00FF7CA3" w:rsidP="00FF7CA3">
      <w:r w:rsidRPr="00FF7CA3">
        <w:t xml:space="preserve">En cas de décès du titulaire du PER d'assurance, si le décès intervient après 70 ans, l'intégralité de la valeur de rachat globale du contrat est soumise aux dispositions successorales de l'article 757 B du CGI (contrairement à l'assurance-vie classique où seuls les versements après 70 ans sont imposés, </w:t>
      </w:r>
      <w:proofErr w:type="gramStart"/>
      <w:r w:rsidRPr="00FF7CA3">
        <w:t>les gains demeurant</w:t>
      </w:r>
      <w:proofErr w:type="gramEnd"/>
      <w:r w:rsidRPr="00FF7CA3">
        <w:t xml:space="preserve"> exonérés).   </w:t>
      </w:r>
    </w:p>
    <w:p w14:paraId="0D80728A" w14:textId="77777777" w:rsidR="00FF7CA3" w:rsidRPr="00FF7CA3" w:rsidRDefault="00FF7CA3" w:rsidP="00FF7CA3">
      <w:pPr>
        <w:rPr>
          <w:b/>
          <w:bCs/>
        </w:rPr>
      </w:pPr>
      <w:r w:rsidRPr="00FF7CA3">
        <w:rPr>
          <w:b/>
          <w:bCs/>
        </w:rPr>
        <w:t>V. Impôt sur la Fortune Immobilière (IFI) 2026 : Seuils, Assiette et Calculs</w:t>
      </w:r>
    </w:p>
    <w:p w14:paraId="13B6C52B" w14:textId="77777777" w:rsidR="00FF7CA3" w:rsidRPr="00FF7CA3" w:rsidRDefault="00FF7CA3" w:rsidP="00FF7CA3">
      <w:r w:rsidRPr="00FF7CA3">
        <w:t>L'assujettissement à l'IFI est déclenché par la détention d'un patrimoine immobilier net taxable d'une valeur supérieure à 1 300 000 € au 1er janvier 2026. Une fois ce seuil franchi, le calcul de l'impôt débute dès 800 000 €.   </w:t>
      </w:r>
    </w:p>
    <w:p w14:paraId="65B6BC77" w14:textId="77777777" w:rsidR="00FF7CA3" w:rsidRPr="00FF7CA3" w:rsidRDefault="00FF7CA3" w:rsidP="00FF7CA3">
      <w:r w:rsidRPr="00FF7CA3">
        <w:t>Le patrimoine taxable comprend les biens détenus directement (résidences secondaires, terrains) ainsi que la fraction représentative d'actifs immobiliers détenue indirectement au travers de parts de SCI, d'OPCI, de SCPI, de contrats d'assurance-vie rachetables (unités de compte immobilières) ou de PER individuels ayant atteint l'âge légal de la retraite.   </w:t>
      </w:r>
    </w:p>
    <w:p w14:paraId="2E6903C3" w14:textId="77777777" w:rsidR="00FF7CA3" w:rsidRPr="00FF7CA3" w:rsidRDefault="00FF7CA3" w:rsidP="00FF7CA3">
      <w:r w:rsidRPr="00FF7CA3">
        <w:t>La résidence principale occupée par son propriétaire bénéficie d'un abattement de 30 % sur sa valeur vénale au 1er janvier 2026. Cet abattement est strictement inapplicable si le logement est détenu indirectement par le biais d'une SCI de gestion ou de location simple.   </w:t>
      </w:r>
    </w:p>
    <w:p w14:paraId="0DC22436" w14:textId="77777777" w:rsidR="00FF7CA3" w:rsidRPr="00FF7CA3" w:rsidRDefault="00FF7CA3" w:rsidP="00FF7CA3">
      <w:r w:rsidRPr="00FF7CA3">
        <w:t>┌────────────────────────────────────────────────────────────────────────────────────────┐</w:t>
      </w:r>
    </w:p>
    <w:p w14:paraId="6BF3F352" w14:textId="77777777" w:rsidR="00FF7CA3" w:rsidRPr="00FF7CA3" w:rsidRDefault="00FF7CA3" w:rsidP="00FF7CA3">
      <w:r w:rsidRPr="00FF7CA3">
        <w:t>│                                   BARÈME PROGRESSIF IFI 2026                           │</w:t>
      </w:r>
    </w:p>
    <w:p w14:paraId="08CA8A7A" w14:textId="77777777" w:rsidR="00FF7CA3" w:rsidRPr="00FF7CA3" w:rsidRDefault="00FF7CA3" w:rsidP="00FF7CA3">
      <w:r w:rsidRPr="00FF7CA3">
        <w:t>└────────────────────────────────────────────────────────────────────────────────────────┘</w:t>
      </w:r>
    </w:p>
    <w:p w14:paraId="5D2F1D32" w14:textId="77777777" w:rsidR="00FF7CA3" w:rsidRPr="00FF7CA3" w:rsidRDefault="00FF7CA3" w:rsidP="00FF7CA3">
      <w:r w:rsidRPr="00FF7CA3">
        <w:t xml:space="preserve">                                            │</w:t>
      </w:r>
    </w:p>
    <w:p w14:paraId="737FEDD0" w14:textId="77777777" w:rsidR="00FF7CA3" w:rsidRPr="00FF7CA3" w:rsidRDefault="00FF7CA3" w:rsidP="00FF7CA3">
      <w:r w:rsidRPr="00FF7CA3">
        <w:t xml:space="preserve">               ┌────────────────────────────</w:t>
      </w:r>
      <w:r w:rsidRPr="00FF7CA3">
        <w:rPr>
          <w:rFonts w:ascii="Arial" w:hAnsi="Arial" w:cs="Arial"/>
        </w:rPr>
        <w:t>┼</w:t>
      </w:r>
      <w:r w:rsidRPr="00FF7CA3">
        <w:rPr>
          <w:rFonts w:ascii="Calibri" w:hAnsi="Calibri" w:cs="Calibri"/>
        </w:rPr>
        <w:t>────────────────────────────┐</w:t>
      </w:r>
    </w:p>
    <w:p w14:paraId="0DD33EEC" w14:textId="77777777" w:rsidR="00FF7CA3" w:rsidRPr="00FF7CA3" w:rsidRDefault="00FF7CA3" w:rsidP="00FF7CA3">
      <w:r w:rsidRPr="00FF7CA3">
        <w:t xml:space="preserve">               </w:t>
      </w:r>
      <w:r w:rsidRPr="00FF7CA3">
        <w:rPr>
          <w:rFonts w:ascii="Arial" w:hAnsi="Arial" w:cs="Arial"/>
        </w:rPr>
        <w:t>▼</w:t>
      </w:r>
      <w:r w:rsidRPr="00FF7CA3">
        <w:t xml:space="preserve">                            </w:t>
      </w:r>
      <w:r w:rsidRPr="00FF7CA3">
        <w:rPr>
          <w:rFonts w:ascii="Arial" w:hAnsi="Arial" w:cs="Arial"/>
        </w:rPr>
        <w:t>▼</w:t>
      </w:r>
      <w:r w:rsidRPr="00FF7CA3">
        <w:t xml:space="preserve">                            </w:t>
      </w:r>
      <w:r w:rsidRPr="00FF7CA3">
        <w:rPr>
          <w:rFonts w:ascii="Arial" w:hAnsi="Arial" w:cs="Arial"/>
        </w:rPr>
        <w:t>▼</w:t>
      </w:r>
    </w:p>
    <w:p w14:paraId="7C21AF09" w14:textId="77777777" w:rsidR="00FF7CA3" w:rsidRPr="00FF7CA3" w:rsidRDefault="00FF7CA3" w:rsidP="00FF7CA3">
      <w:r w:rsidRPr="00FF7CA3">
        <w:t xml:space="preserve">      ┌──────────────────┐         ┌──────────────────┐         ┌──────────────────┐</w:t>
      </w:r>
    </w:p>
    <w:p w14:paraId="3344DB2A" w14:textId="77777777" w:rsidR="00FF7CA3" w:rsidRPr="00FF7CA3" w:rsidRDefault="00FF7CA3" w:rsidP="00FF7CA3">
      <w:r w:rsidRPr="00FF7CA3">
        <w:t xml:space="preserve">      </w:t>
      </w:r>
      <w:proofErr w:type="gramStart"/>
      <w:r w:rsidRPr="00FF7CA3">
        <w:t>│  Tranche</w:t>
      </w:r>
      <w:proofErr w:type="gramEnd"/>
      <w:r w:rsidRPr="00FF7CA3">
        <w:t xml:space="preserve"> 1       │         │  Tranche 2       │         │  Tranche 3       │</w:t>
      </w:r>
    </w:p>
    <w:p w14:paraId="7398AD80" w14:textId="77777777" w:rsidR="00FF7CA3" w:rsidRPr="00FF7CA3" w:rsidRDefault="00FF7CA3" w:rsidP="00FF7CA3">
      <w:r w:rsidRPr="00FF7CA3">
        <w:t xml:space="preserve">      </w:t>
      </w:r>
      <w:proofErr w:type="gramStart"/>
      <w:r w:rsidRPr="00FF7CA3">
        <w:t>│  0</w:t>
      </w:r>
      <w:proofErr w:type="gramEnd"/>
      <w:r w:rsidRPr="00FF7CA3">
        <w:t xml:space="preserve"> à 800 000 €   │         │  800k à 1.3 M€   │         │  1.3 M€ à 2.57M€ │</w:t>
      </w:r>
    </w:p>
    <w:p w14:paraId="43450022" w14:textId="77777777" w:rsidR="00FF7CA3" w:rsidRPr="00FF7CA3" w:rsidRDefault="00FF7CA3" w:rsidP="00FF7CA3">
      <w:r w:rsidRPr="00FF7CA3">
        <w:t xml:space="preserve">      └──────────────────┘         └──────────────────┘         └──────────────────┘</w:t>
      </w:r>
    </w:p>
    <w:p w14:paraId="49230346" w14:textId="77777777" w:rsidR="00FF7CA3" w:rsidRPr="00FF7CA3" w:rsidRDefault="00FF7CA3" w:rsidP="00FF7CA3">
      <w:r w:rsidRPr="00FF7CA3">
        <w:t xml:space="preserve">            0,00 %                       0,50 %                       0,70 %</w:t>
      </w:r>
    </w:p>
    <w:p w14:paraId="5F4175FC" w14:textId="77777777" w:rsidR="00FF7CA3" w:rsidRPr="00FF7CA3" w:rsidRDefault="00FF7CA3" w:rsidP="00FF7CA3">
      <w:r w:rsidRPr="00FF7CA3">
        <w:t xml:space="preserve">                                       </w:t>
      </w:r>
    </w:p>
    <w:p w14:paraId="6D58316A" w14:textId="77777777" w:rsidR="00FF7CA3" w:rsidRPr="00FF7CA3" w:rsidRDefault="00FF7CA3" w:rsidP="00FF7CA3"/>
    <w:p w14:paraId="6B6CACC9" w14:textId="77777777" w:rsidR="00FF7CA3" w:rsidRPr="00FF7CA3" w:rsidRDefault="00FF7CA3" w:rsidP="00FF7CA3">
      <w:r w:rsidRPr="00FF7CA3">
        <w:t xml:space="preserve">               ┌────────────────────────────</w:t>
      </w:r>
      <w:r w:rsidRPr="00FF7CA3">
        <w:rPr>
          <w:rFonts w:ascii="Arial" w:hAnsi="Arial" w:cs="Arial"/>
        </w:rPr>
        <w:t>┼</w:t>
      </w:r>
      <w:r w:rsidRPr="00FF7CA3">
        <w:rPr>
          <w:rFonts w:ascii="Calibri" w:hAnsi="Calibri" w:cs="Calibri"/>
        </w:rPr>
        <w:t>────────────────────────────┐</w:t>
      </w:r>
    </w:p>
    <w:p w14:paraId="432D8FD5" w14:textId="77777777" w:rsidR="00FF7CA3" w:rsidRPr="00FF7CA3" w:rsidRDefault="00FF7CA3" w:rsidP="00FF7CA3">
      <w:r w:rsidRPr="00FF7CA3">
        <w:t xml:space="preserve">               </w:t>
      </w:r>
      <w:r w:rsidRPr="00FF7CA3">
        <w:rPr>
          <w:rFonts w:ascii="Arial" w:hAnsi="Arial" w:cs="Arial"/>
        </w:rPr>
        <w:t>▼</w:t>
      </w:r>
      <w:r w:rsidRPr="00FF7CA3">
        <w:t xml:space="preserve">                            </w:t>
      </w:r>
      <w:r w:rsidRPr="00FF7CA3">
        <w:rPr>
          <w:rFonts w:ascii="Arial" w:hAnsi="Arial" w:cs="Arial"/>
        </w:rPr>
        <w:t>▼</w:t>
      </w:r>
      <w:r w:rsidRPr="00FF7CA3">
        <w:t xml:space="preserve">                            </w:t>
      </w:r>
      <w:r w:rsidRPr="00FF7CA3">
        <w:rPr>
          <w:rFonts w:ascii="Arial" w:hAnsi="Arial" w:cs="Arial"/>
        </w:rPr>
        <w:t>▼</w:t>
      </w:r>
    </w:p>
    <w:p w14:paraId="45F3BF1C" w14:textId="77777777" w:rsidR="00FF7CA3" w:rsidRPr="00FF7CA3" w:rsidRDefault="00FF7CA3" w:rsidP="00FF7CA3">
      <w:r w:rsidRPr="00FF7CA3">
        <w:t xml:space="preserve">      ┌──────────────────┐         ┌──────────────────┐         ┌──────────────────┐</w:t>
      </w:r>
    </w:p>
    <w:p w14:paraId="32F7821E" w14:textId="77777777" w:rsidR="00FF7CA3" w:rsidRPr="00FF7CA3" w:rsidRDefault="00FF7CA3" w:rsidP="00FF7CA3">
      <w:r w:rsidRPr="00FF7CA3">
        <w:t xml:space="preserve">      </w:t>
      </w:r>
      <w:proofErr w:type="gramStart"/>
      <w:r w:rsidRPr="00FF7CA3">
        <w:t>│  Tranche</w:t>
      </w:r>
      <w:proofErr w:type="gramEnd"/>
      <w:r w:rsidRPr="00FF7CA3">
        <w:t xml:space="preserve"> 4       │         │  Tranche 5       │         │  Tranche 6       │</w:t>
      </w:r>
    </w:p>
    <w:p w14:paraId="5C4796C8" w14:textId="77777777" w:rsidR="00FF7CA3" w:rsidRPr="00FF7CA3" w:rsidRDefault="00FF7CA3" w:rsidP="00FF7CA3">
      <w:r w:rsidRPr="00FF7CA3">
        <w:t xml:space="preserve">      </w:t>
      </w:r>
      <w:proofErr w:type="gramStart"/>
      <w:r w:rsidRPr="00FF7CA3">
        <w:t>│  2</w:t>
      </w:r>
      <w:proofErr w:type="gramEnd"/>
      <w:r w:rsidRPr="00FF7CA3">
        <w:t>.57M€ à 5 M€   │         │  5 M€ à 10 M€    │         │  Plus de 10 M€   │</w:t>
      </w:r>
    </w:p>
    <w:p w14:paraId="41706759" w14:textId="77777777" w:rsidR="00FF7CA3" w:rsidRPr="00FF7CA3" w:rsidRDefault="00FF7CA3" w:rsidP="00FF7CA3">
      <w:r w:rsidRPr="00FF7CA3">
        <w:t xml:space="preserve">      └──────────────────┘         └──────────────────┘         └──────────────────┘</w:t>
      </w:r>
    </w:p>
    <w:p w14:paraId="1039A25E" w14:textId="77777777" w:rsidR="00FF7CA3" w:rsidRPr="00FF7CA3" w:rsidRDefault="00FF7CA3" w:rsidP="00FF7CA3">
      <w:r w:rsidRPr="00FF7CA3">
        <w:t xml:space="preserve">            1,00 %                       1,25 %                       1,50 %</w:t>
      </w:r>
    </w:p>
    <w:p w14:paraId="0E16AC3F" w14:textId="77777777" w:rsidR="00FF7CA3" w:rsidRPr="00FF7CA3" w:rsidRDefault="00FF7CA3" w:rsidP="00FF7CA3">
      <w:r w:rsidRPr="00FF7CA3">
        <w:t xml:space="preserve">                                       </w:t>
      </w:r>
    </w:p>
    <w:p w14:paraId="16DA93ED" w14:textId="77777777" w:rsidR="00FF7CA3" w:rsidRPr="00FF7CA3" w:rsidRDefault="00FF7CA3" w:rsidP="00FF7CA3">
      <w:r w:rsidRPr="00FF7CA3">
        <w:t>Pour les patrimoines nets taxables compris entre 1 300 000 € et 1 400 000 €, un lissage de l'effet de seuil est opéré par l'application d'une décote :   </w:t>
      </w:r>
    </w:p>
    <w:p w14:paraId="5A69B6EC" w14:textId="77777777" w:rsidR="00FF7CA3" w:rsidRPr="00FF7CA3" w:rsidRDefault="00FF7CA3" w:rsidP="00FF7CA3">
      <w:proofErr w:type="spellStart"/>
      <w:r w:rsidRPr="00FF7CA3">
        <w:t>Deˊcote</w:t>
      </w:r>
      <w:proofErr w:type="spellEnd"/>
      <w:r w:rsidRPr="00FF7CA3">
        <w:t>=17500−(1,25%×Patrimoine Net Taxable)</w:t>
      </w:r>
    </w:p>
    <w:p w14:paraId="249B750C" w14:textId="77777777" w:rsidR="00FF7CA3" w:rsidRPr="00FF7CA3" w:rsidRDefault="00FF7CA3" w:rsidP="00FF7CA3">
      <w:r w:rsidRPr="00FF7CA3">
        <w:t>   </w:t>
      </w:r>
    </w:p>
    <w:p w14:paraId="7AE603C1" w14:textId="77777777" w:rsidR="00FF7CA3" w:rsidRPr="00FF7CA3" w:rsidRDefault="00FF7CA3" w:rsidP="00FF7CA3">
      <w:r w:rsidRPr="00FF7CA3">
        <w:t>Les dettes afférentes à des actifs imposables (emprunts immobiliers en cours, impôts fonciers, taxes de rénovation) sont déductibles de l'actif brut pour l'obtention du patrimoine net imposable. Toutefois, lorsque la valeur du patrimoine immobilier taxable dépasse 5 000 000 € et que le montant total des dettes déductibles excède 60 % de cette valeur, la part des dettes au-delà de ces 60 % n'est déductible qu'à hauteur de 50 % de son montant, sauf si le redevable justifie que l'endettement n'a pas été contracté dans un but principalement fiscal.   </w:t>
      </w:r>
    </w:p>
    <w:p w14:paraId="652AFE5E" w14:textId="77777777" w:rsidR="00FF7CA3" w:rsidRPr="00FF7CA3" w:rsidRDefault="00FF7CA3" w:rsidP="00FF7CA3">
      <w:r w:rsidRPr="00FF7CA3">
        <w:t>Les biens professionnels affectés à l'activité opérationnelle du redevable ou de sa société sont totalement exonérés d'IFI. Les bois, forêts et parts de groupements forestiers (GFA) bénéficient d'une exonération d'IFI de 75 % sous conditions strictes d'engagement d'exploitation forestière durable.   </w:t>
      </w:r>
    </w:p>
    <w:p w14:paraId="3D6D54B5" w14:textId="77777777" w:rsidR="00FF7CA3" w:rsidRPr="00FF7CA3" w:rsidRDefault="00FF7CA3" w:rsidP="00FF7CA3">
      <w:r w:rsidRPr="00FF7CA3">
        <w:t xml:space="preserve">Le montant global cumulé de l'IFI et de l'impôt sur le revenu (revenus mondiaux nets de l'année précédente) ne peut excéder 75 % du total des revenus mondiaux de l'année </w:t>
      </w:r>
      <w:proofErr w:type="gramStart"/>
      <w:r w:rsidRPr="00FF7CA3">
        <w:t>précédente;</w:t>
      </w:r>
      <w:proofErr w:type="gramEnd"/>
      <w:r w:rsidRPr="00FF7CA3">
        <w:t xml:space="preserve"> en cas de dépassement, l'IFI de l'année en cours est réduit à due concurrence. Les dons en numéraire effectués au profit d'organismes reconnus d'utilité publique ouvrent droit à une réduction d'IFI égale à 75 % des versements, dans la limite annuelle stricte de 50 000 €.   </w:t>
      </w:r>
    </w:p>
    <w:p w14:paraId="7368D9A8" w14:textId="77777777" w:rsidR="001A408B" w:rsidRDefault="001A408B"/>
    <w:sectPr w:rsidR="001A40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C4A0B"/>
    <w:multiLevelType w:val="multilevel"/>
    <w:tmpl w:val="8232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306F1"/>
    <w:multiLevelType w:val="multilevel"/>
    <w:tmpl w:val="F9FCB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31190"/>
    <w:multiLevelType w:val="multilevel"/>
    <w:tmpl w:val="08AC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71862"/>
    <w:multiLevelType w:val="multilevel"/>
    <w:tmpl w:val="3E4E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944FC"/>
    <w:multiLevelType w:val="multilevel"/>
    <w:tmpl w:val="639E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B2613"/>
    <w:multiLevelType w:val="multilevel"/>
    <w:tmpl w:val="AC2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979738">
    <w:abstractNumId w:val="1"/>
  </w:num>
  <w:num w:numId="2" w16cid:durableId="814760860">
    <w:abstractNumId w:val="2"/>
  </w:num>
  <w:num w:numId="3" w16cid:durableId="1925845217">
    <w:abstractNumId w:val="4"/>
  </w:num>
  <w:num w:numId="4" w16cid:durableId="1180389298">
    <w:abstractNumId w:val="5"/>
  </w:num>
  <w:num w:numId="5" w16cid:durableId="862203712">
    <w:abstractNumId w:val="3"/>
  </w:num>
  <w:num w:numId="6" w16cid:durableId="1866167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CA3"/>
    <w:rsid w:val="001A408B"/>
    <w:rsid w:val="007F04B6"/>
    <w:rsid w:val="00856321"/>
    <w:rsid w:val="00AD77B4"/>
    <w:rsid w:val="00FF7C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75AE5"/>
  <w15:chartTrackingRefBased/>
  <w15:docId w15:val="{8C3F1E9F-5EC7-4A49-B444-8CD9AA5D7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F7C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F7C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F7CA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F7CA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F7CA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F7CA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F7CA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F7CA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F7CA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F7CA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F7CA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F7CA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F7CA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F7CA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F7CA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F7CA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F7CA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F7CA3"/>
    <w:rPr>
      <w:rFonts w:eastAsiaTheme="majorEastAsia" w:cstheme="majorBidi"/>
      <w:color w:val="272727" w:themeColor="text1" w:themeTint="D8"/>
    </w:rPr>
  </w:style>
  <w:style w:type="paragraph" w:styleId="Titre">
    <w:name w:val="Title"/>
    <w:basedOn w:val="Normal"/>
    <w:next w:val="Normal"/>
    <w:link w:val="TitreCar"/>
    <w:uiPriority w:val="10"/>
    <w:qFormat/>
    <w:rsid w:val="00FF7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F7CA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F7CA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F7CA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F7CA3"/>
    <w:pPr>
      <w:spacing w:before="160"/>
      <w:jc w:val="center"/>
    </w:pPr>
    <w:rPr>
      <w:i/>
      <w:iCs/>
      <w:color w:val="404040" w:themeColor="text1" w:themeTint="BF"/>
    </w:rPr>
  </w:style>
  <w:style w:type="character" w:customStyle="1" w:styleId="CitationCar">
    <w:name w:val="Citation Car"/>
    <w:basedOn w:val="Policepardfaut"/>
    <w:link w:val="Citation"/>
    <w:uiPriority w:val="29"/>
    <w:rsid w:val="00FF7CA3"/>
    <w:rPr>
      <w:i/>
      <w:iCs/>
      <w:color w:val="404040" w:themeColor="text1" w:themeTint="BF"/>
    </w:rPr>
  </w:style>
  <w:style w:type="paragraph" w:styleId="Paragraphedeliste">
    <w:name w:val="List Paragraph"/>
    <w:basedOn w:val="Normal"/>
    <w:uiPriority w:val="34"/>
    <w:qFormat/>
    <w:rsid w:val="00FF7CA3"/>
    <w:pPr>
      <w:ind w:left="720"/>
      <w:contextualSpacing/>
    </w:pPr>
  </w:style>
  <w:style w:type="character" w:styleId="Accentuationintense">
    <w:name w:val="Intense Emphasis"/>
    <w:basedOn w:val="Policepardfaut"/>
    <w:uiPriority w:val="21"/>
    <w:qFormat/>
    <w:rsid w:val="00FF7CA3"/>
    <w:rPr>
      <w:i/>
      <w:iCs/>
      <w:color w:val="2F5496" w:themeColor="accent1" w:themeShade="BF"/>
    </w:rPr>
  </w:style>
  <w:style w:type="paragraph" w:styleId="Citationintense">
    <w:name w:val="Intense Quote"/>
    <w:basedOn w:val="Normal"/>
    <w:next w:val="Normal"/>
    <w:link w:val="CitationintenseCar"/>
    <w:uiPriority w:val="30"/>
    <w:qFormat/>
    <w:rsid w:val="00FF7C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F7CA3"/>
    <w:rPr>
      <w:i/>
      <w:iCs/>
      <w:color w:val="2F5496" w:themeColor="accent1" w:themeShade="BF"/>
    </w:rPr>
  </w:style>
  <w:style w:type="character" w:styleId="Rfrenceintense">
    <w:name w:val="Intense Reference"/>
    <w:basedOn w:val="Policepardfaut"/>
    <w:uiPriority w:val="32"/>
    <w:qFormat/>
    <w:rsid w:val="00FF7C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172982">
      <w:bodyDiv w:val="1"/>
      <w:marLeft w:val="0"/>
      <w:marRight w:val="0"/>
      <w:marTop w:val="0"/>
      <w:marBottom w:val="0"/>
      <w:divBdr>
        <w:top w:val="none" w:sz="0" w:space="0" w:color="auto"/>
        <w:left w:val="none" w:sz="0" w:space="0" w:color="auto"/>
        <w:bottom w:val="none" w:sz="0" w:space="0" w:color="auto"/>
        <w:right w:val="none" w:sz="0" w:space="0" w:color="auto"/>
      </w:divBdr>
      <w:divsChild>
        <w:div w:id="1824271357">
          <w:marLeft w:val="0"/>
          <w:marRight w:val="0"/>
          <w:marTop w:val="0"/>
          <w:marBottom w:val="0"/>
          <w:divBdr>
            <w:top w:val="none" w:sz="0" w:space="0" w:color="auto"/>
            <w:left w:val="none" w:sz="0" w:space="0" w:color="auto"/>
            <w:bottom w:val="none" w:sz="0" w:space="0" w:color="auto"/>
            <w:right w:val="none" w:sz="0" w:space="0" w:color="auto"/>
          </w:divBdr>
          <w:divsChild>
            <w:div w:id="179635326">
              <w:marLeft w:val="0"/>
              <w:marRight w:val="0"/>
              <w:marTop w:val="0"/>
              <w:marBottom w:val="0"/>
              <w:divBdr>
                <w:top w:val="none" w:sz="0" w:space="0" w:color="auto"/>
                <w:left w:val="none" w:sz="0" w:space="0" w:color="auto"/>
                <w:bottom w:val="none" w:sz="0" w:space="0" w:color="auto"/>
                <w:right w:val="none" w:sz="0" w:space="0" w:color="auto"/>
              </w:divBdr>
              <w:divsChild>
                <w:div w:id="518006847">
                  <w:marLeft w:val="0"/>
                  <w:marRight w:val="0"/>
                  <w:marTop w:val="0"/>
                  <w:marBottom w:val="0"/>
                  <w:divBdr>
                    <w:top w:val="none" w:sz="0" w:space="0" w:color="auto"/>
                    <w:left w:val="none" w:sz="0" w:space="0" w:color="auto"/>
                    <w:bottom w:val="none" w:sz="0" w:space="0" w:color="auto"/>
                    <w:right w:val="none" w:sz="0" w:space="0" w:color="auto"/>
                  </w:divBdr>
                  <w:divsChild>
                    <w:div w:id="1952391301">
                      <w:marLeft w:val="0"/>
                      <w:marRight w:val="0"/>
                      <w:marTop w:val="0"/>
                      <w:marBottom w:val="0"/>
                      <w:divBdr>
                        <w:top w:val="none" w:sz="0" w:space="0" w:color="auto"/>
                        <w:left w:val="none" w:sz="0" w:space="0" w:color="auto"/>
                        <w:bottom w:val="none" w:sz="0" w:space="0" w:color="auto"/>
                        <w:right w:val="none" w:sz="0" w:space="0" w:color="auto"/>
                      </w:divBdr>
                    </w:div>
                  </w:divsChild>
                </w:div>
                <w:div w:id="1006055112">
                  <w:marLeft w:val="0"/>
                  <w:marRight w:val="0"/>
                  <w:marTop w:val="0"/>
                  <w:marBottom w:val="0"/>
                  <w:divBdr>
                    <w:top w:val="none" w:sz="0" w:space="0" w:color="auto"/>
                    <w:left w:val="none" w:sz="0" w:space="0" w:color="auto"/>
                    <w:bottom w:val="none" w:sz="0" w:space="0" w:color="auto"/>
                    <w:right w:val="none" w:sz="0" w:space="0" w:color="auto"/>
                  </w:divBdr>
                  <w:divsChild>
                    <w:div w:id="112212290">
                      <w:marLeft w:val="0"/>
                      <w:marRight w:val="0"/>
                      <w:marTop w:val="0"/>
                      <w:marBottom w:val="0"/>
                      <w:divBdr>
                        <w:top w:val="none" w:sz="0" w:space="0" w:color="auto"/>
                        <w:left w:val="none" w:sz="0" w:space="0" w:color="auto"/>
                        <w:bottom w:val="none" w:sz="0" w:space="0" w:color="auto"/>
                        <w:right w:val="none" w:sz="0" w:space="0" w:color="auto"/>
                      </w:divBdr>
                    </w:div>
                  </w:divsChild>
                </w:div>
                <w:div w:id="1482582348">
                  <w:marLeft w:val="-240"/>
                  <w:marRight w:val="-240"/>
                  <w:marTop w:val="240"/>
                  <w:marBottom w:val="0"/>
                  <w:divBdr>
                    <w:top w:val="none" w:sz="0" w:space="0" w:color="auto"/>
                    <w:left w:val="none" w:sz="0" w:space="0" w:color="auto"/>
                    <w:bottom w:val="none" w:sz="0" w:space="0" w:color="auto"/>
                    <w:right w:val="none" w:sz="0" w:space="0" w:color="auto"/>
                  </w:divBdr>
                  <w:divsChild>
                    <w:div w:id="90975364">
                      <w:marLeft w:val="0"/>
                      <w:marRight w:val="0"/>
                      <w:marTop w:val="0"/>
                      <w:marBottom w:val="0"/>
                      <w:divBdr>
                        <w:top w:val="none" w:sz="0" w:space="0" w:color="auto"/>
                        <w:left w:val="none" w:sz="0" w:space="0" w:color="auto"/>
                        <w:bottom w:val="none" w:sz="0" w:space="0" w:color="auto"/>
                        <w:right w:val="none" w:sz="0" w:space="0" w:color="auto"/>
                      </w:divBdr>
                      <w:divsChild>
                        <w:div w:id="124330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42636">
                  <w:marLeft w:val="0"/>
                  <w:marRight w:val="0"/>
                  <w:marTop w:val="0"/>
                  <w:marBottom w:val="0"/>
                  <w:divBdr>
                    <w:top w:val="none" w:sz="0" w:space="0" w:color="auto"/>
                    <w:left w:val="none" w:sz="0" w:space="0" w:color="auto"/>
                    <w:bottom w:val="none" w:sz="0" w:space="0" w:color="auto"/>
                    <w:right w:val="none" w:sz="0" w:space="0" w:color="auto"/>
                  </w:divBdr>
                  <w:divsChild>
                    <w:div w:id="1751652569">
                      <w:marLeft w:val="0"/>
                      <w:marRight w:val="0"/>
                      <w:marTop w:val="0"/>
                      <w:marBottom w:val="0"/>
                      <w:divBdr>
                        <w:top w:val="none" w:sz="0" w:space="0" w:color="auto"/>
                        <w:left w:val="none" w:sz="0" w:space="0" w:color="auto"/>
                        <w:bottom w:val="none" w:sz="0" w:space="0" w:color="auto"/>
                        <w:right w:val="none" w:sz="0" w:space="0" w:color="auto"/>
                      </w:divBdr>
                    </w:div>
                  </w:divsChild>
                </w:div>
                <w:div w:id="502400818">
                  <w:marLeft w:val="0"/>
                  <w:marRight w:val="0"/>
                  <w:marTop w:val="0"/>
                  <w:marBottom w:val="0"/>
                  <w:divBdr>
                    <w:top w:val="none" w:sz="0" w:space="0" w:color="auto"/>
                    <w:left w:val="none" w:sz="0" w:space="0" w:color="auto"/>
                    <w:bottom w:val="none" w:sz="0" w:space="0" w:color="auto"/>
                    <w:right w:val="none" w:sz="0" w:space="0" w:color="auto"/>
                  </w:divBdr>
                  <w:divsChild>
                    <w:div w:id="394547333">
                      <w:marLeft w:val="0"/>
                      <w:marRight w:val="0"/>
                      <w:marTop w:val="0"/>
                      <w:marBottom w:val="0"/>
                      <w:divBdr>
                        <w:top w:val="none" w:sz="0" w:space="0" w:color="auto"/>
                        <w:left w:val="none" w:sz="0" w:space="0" w:color="auto"/>
                        <w:bottom w:val="none" w:sz="0" w:space="0" w:color="auto"/>
                        <w:right w:val="none" w:sz="0" w:space="0" w:color="auto"/>
                      </w:divBdr>
                    </w:div>
                  </w:divsChild>
                </w:div>
                <w:div w:id="1358854077">
                  <w:marLeft w:val="0"/>
                  <w:marRight w:val="0"/>
                  <w:marTop w:val="0"/>
                  <w:marBottom w:val="0"/>
                  <w:divBdr>
                    <w:top w:val="none" w:sz="0" w:space="0" w:color="auto"/>
                    <w:left w:val="none" w:sz="0" w:space="0" w:color="auto"/>
                    <w:bottom w:val="none" w:sz="0" w:space="0" w:color="auto"/>
                    <w:right w:val="none" w:sz="0" w:space="0" w:color="auto"/>
                  </w:divBdr>
                </w:div>
                <w:div w:id="564143046">
                  <w:marLeft w:val="-240"/>
                  <w:marRight w:val="-240"/>
                  <w:marTop w:val="240"/>
                  <w:marBottom w:val="0"/>
                  <w:divBdr>
                    <w:top w:val="none" w:sz="0" w:space="0" w:color="auto"/>
                    <w:left w:val="none" w:sz="0" w:space="0" w:color="auto"/>
                    <w:bottom w:val="none" w:sz="0" w:space="0" w:color="auto"/>
                    <w:right w:val="none" w:sz="0" w:space="0" w:color="auto"/>
                  </w:divBdr>
                  <w:divsChild>
                    <w:div w:id="1769304993">
                      <w:marLeft w:val="0"/>
                      <w:marRight w:val="0"/>
                      <w:marTop w:val="0"/>
                      <w:marBottom w:val="0"/>
                      <w:divBdr>
                        <w:top w:val="none" w:sz="0" w:space="0" w:color="auto"/>
                        <w:left w:val="none" w:sz="0" w:space="0" w:color="auto"/>
                        <w:bottom w:val="none" w:sz="0" w:space="0" w:color="auto"/>
                        <w:right w:val="none" w:sz="0" w:space="0" w:color="auto"/>
                      </w:divBdr>
                      <w:divsChild>
                        <w:div w:id="106456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47227">
                  <w:marLeft w:val="0"/>
                  <w:marRight w:val="0"/>
                  <w:marTop w:val="0"/>
                  <w:marBottom w:val="0"/>
                  <w:divBdr>
                    <w:top w:val="none" w:sz="0" w:space="0" w:color="auto"/>
                    <w:left w:val="none" w:sz="0" w:space="0" w:color="auto"/>
                    <w:bottom w:val="none" w:sz="0" w:space="0" w:color="auto"/>
                    <w:right w:val="none" w:sz="0" w:space="0" w:color="auto"/>
                  </w:divBdr>
                  <w:divsChild>
                    <w:div w:id="185657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953523">
      <w:bodyDiv w:val="1"/>
      <w:marLeft w:val="0"/>
      <w:marRight w:val="0"/>
      <w:marTop w:val="0"/>
      <w:marBottom w:val="0"/>
      <w:divBdr>
        <w:top w:val="none" w:sz="0" w:space="0" w:color="auto"/>
        <w:left w:val="none" w:sz="0" w:space="0" w:color="auto"/>
        <w:bottom w:val="none" w:sz="0" w:space="0" w:color="auto"/>
        <w:right w:val="none" w:sz="0" w:space="0" w:color="auto"/>
      </w:divBdr>
      <w:divsChild>
        <w:div w:id="847594283">
          <w:marLeft w:val="0"/>
          <w:marRight w:val="0"/>
          <w:marTop w:val="0"/>
          <w:marBottom w:val="0"/>
          <w:divBdr>
            <w:top w:val="none" w:sz="0" w:space="0" w:color="auto"/>
            <w:left w:val="none" w:sz="0" w:space="0" w:color="auto"/>
            <w:bottom w:val="none" w:sz="0" w:space="0" w:color="auto"/>
            <w:right w:val="none" w:sz="0" w:space="0" w:color="auto"/>
          </w:divBdr>
          <w:divsChild>
            <w:div w:id="1161195466">
              <w:marLeft w:val="0"/>
              <w:marRight w:val="0"/>
              <w:marTop w:val="0"/>
              <w:marBottom w:val="0"/>
              <w:divBdr>
                <w:top w:val="none" w:sz="0" w:space="0" w:color="auto"/>
                <w:left w:val="none" w:sz="0" w:space="0" w:color="auto"/>
                <w:bottom w:val="none" w:sz="0" w:space="0" w:color="auto"/>
                <w:right w:val="none" w:sz="0" w:space="0" w:color="auto"/>
              </w:divBdr>
              <w:divsChild>
                <w:div w:id="465784161">
                  <w:marLeft w:val="0"/>
                  <w:marRight w:val="0"/>
                  <w:marTop w:val="0"/>
                  <w:marBottom w:val="0"/>
                  <w:divBdr>
                    <w:top w:val="none" w:sz="0" w:space="0" w:color="auto"/>
                    <w:left w:val="none" w:sz="0" w:space="0" w:color="auto"/>
                    <w:bottom w:val="none" w:sz="0" w:space="0" w:color="auto"/>
                    <w:right w:val="none" w:sz="0" w:space="0" w:color="auto"/>
                  </w:divBdr>
                  <w:divsChild>
                    <w:div w:id="497228863">
                      <w:marLeft w:val="0"/>
                      <w:marRight w:val="0"/>
                      <w:marTop w:val="0"/>
                      <w:marBottom w:val="0"/>
                      <w:divBdr>
                        <w:top w:val="none" w:sz="0" w:space="0" w:color="auto"/>
                        <w:left w:val="none" w:sz="0" w:space="0" w:color="auto"/>
                        <w:bottom w:val="none" w:sz="0" w:space="0" w:color="auto"/>
                        <w:right w:val="none" w:sz="0" w:space="0" w:color="auto"/>
                      </w:divBdr>
                    </w:div>
                  </w:divsChild>
                </w:div>
                <w:div w:id="1031960594">
                  <w:marLeft w:val="0"/>
                  <w:marRight w:val="0"/>
                  <w:marTop w:val="0"/>
                  <w:marBottom w:val="0"/>
                  <w:divBdr>
                    <w:top w:val="none" w:sz="0" w:space="0" w:color="auto"/>
                    <w:left w:val="none" w:sz="0" w:space="0" w:color="auto"/>
                    <w:bottom w:val="none" w:sz="0" w:space="0" w:color="auto"/>
                    <w:right w:val="none" w:sz="0" w:space="0" w:color="auto"/>
                  </w:divBdr>
                  <w:divsChild>
                    <w:div w:id="446628025">
                      <w:marLeft w:val="0"/>
                      <w:marRight w:val="0"/>
                      <w:marTop w:val="0"/>
                      <w:marBottom w:val="0"/>
                      <w:divBdr>
                        <w:top w:val="none" w:sz="0" w:space="0" w:color="auto"/>
                        <w:left w:val="none" w:sz="0" w:space="0" w:color="auto"/>
                        <w:bottom w:val="none" w:sz="0" w:space="0" w:color="auto"/>
                        <w:right w:val="none" w:sz="0" w:space="0" w:color="auto"/>
                      </w:divBdr>
                    </w:div>
                  </w:divsChild>
                </w:div>
                <w:div w:id="282656801">
                  <w:marLeft w:val="-240"/>
                  <w:marRight w:val="-240"/>
                  <w:marTop w:val="240"/>
                  <w:marBottom w:val="0"/>
                  <w:divBdr>
                    <w:top w:val="none" w:sz="0" w:space="0" w:color="auto"/>
                    <w:left w:val="none" w:sz="0" w:space="0" w:color="auto"/>
                    <w:bottom w:val="none" w:sz="0" w:space="0" w:color="auto"/>
                    <w:right w:val="none" w:sz="0" w:space="0" w:color="auto"/>
                  </w:divBdr>
                  <w:divsChild>
                    <w:div w:id="1305433318">
                      <w:marLeft w:val="0"/>
                      <w:marRight w:val="0"/>
                      <w:marTop w:val="0"/>
                      <w:marBottom w:val="0"/>
                      <w:divBdr>
                        <w:top w:val="none" w:sz="0" w:space="0" w:color="auto"/>
                        <w:left w:val="none" w:sz="0" w:space="0" w:color="auto"/>
                        <w:bottom w:val="none" w:sz="0" w:space="0" w:color="auto"/>
                        <w:right w:val="none" w:sz="0" w:space="0" w:color="auto"/>
                      </w:divBdr>
                      <w:divsChild>
                        <w:div w:id="104309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447664">
                  <w:marLeft w:val="0"/>
                  <w:marRight w:val="0"/>
                  <w:marTop w:val="0"/>
                  <w:marBottom w:val="0"/>
                  <w:divBdr>
                    <w:top w:val="none" w:sz="0" w:space="0" w:color="auto"/>
                    <w:left w:val="none" w:sz="0" w:space="0" w:color="auto"/>
                    <w:bottom w:val="none" w:sz="0" w:space="0" w:color="auto"/>
                    <w:right w:val="none" w:sz="0" w:space="0" w:color="auto"/>
                  </w:divBdr>
                  <w:divsChild>
                    <w:div w:id="1442266240">
                      <w:marLeft w:val="0"/>
                      <w:marRight w:val="0"/>
                      <w:marTop w:val="0"/>
                      <w:marBottom w:val="0"/>
                      <w:divBdr>
                        <w:top w:val="none" w:sz="0" w:space="0" w:color="auto"/>
                        <w:left w:val="none" w:sz="0" w:space="0" w:color="auto"/>
                        <w:bottom w:val="none" w:sz="0" w:space="0" w:color="auto"/>
                        <w:right w:val="none" w:sz="0" w:space="0" w:color="auto"/>
                      </w:divBdr>
                    </w:div>
                  </w:divsChild>
                </w:div>
                <w:div w:id="1372345324">
                  <w:marLeft w:val="0"/>
                  <w:marRight w:val="0"/>
                  <w:marTop w:val="0"/>
                  <w:marBottom w:val="0"/>
                  <w:divBdr>
                    <w:top w:val="none" w:sz="0" w:space="0" w:color="auto"/>
                    <w:left w:val="none" w:sz="0" w:space="0" w:color="auto"/>
                    <w:bottom w:val="none" w:sz="0" w:space="0" w:color="auto"/>
                    <w:right w:val="none" w:sz="0" w:space="0" w:color="auto"/>
                  </w:divBdr>
                  <w:divsChild>
                    <w:div w:id="1013798957">
                      <w:marLeft w:val="0"/>
                      <w:marRight w:val="0"/>
                      <w:marTop w:val="0"/>
                      <w:marBottom w:val="0"/>
                      <w:divBdr>
                        <w:top w:val="none" w:sz="0" w:space="0" w:color="auto"/>
                        <w:left w:val="none" w:sz="0" w:space="0" w:color="auto"/>
                        <w:bottom w:val="none" w:sz="0" w:space="0" w:color="auto"/>
                        <w:right w:val="none" w:sz="0" w:space="0" w:color="auto"/>
                      </w:divBdr>
                    </w:div>
                  </w:divsChild>
                </w:div>
                <w:div w:id="1795557942">
                  <w:marLeft w:val="0"/>
                  <w:marRight w:val="0"/>
                  <w:marTop w:val="0"/>
                  <w:marBottom w:val="0"/>
                  <w:divBdr>
                    <w:top w:val="none" w:sz="0" w:space="0" w:color="auto"/>
                    <w:left w:val="none" w:sz="0" w:space="0" w:color="auto"/>
                    <w:bottom w:val="none" w:sz="0" w:space="0" w:color="auto"/>
                    <w:right w:val="none" w:sz="0" w:space="0" w:color="auto"/>
                  </w:divBdr>
                </w:div>
                <w:div w:id="1543060438">
                  <w:marLeft w:val="-240"/>
                  <w:marRight w:val="-240"/>
                  <w:marTop w:val="240"/>
                  <w:marBottom w:val="0"/>
                  <w:divBdr>
                    <w:top w:val="none" w:sz="0" w:space="0" w:color="auto"/>
                    <w:left w:val="none" w:sz="0" w:space="0" w:color="auto"/>
                    <w:bottom w:val="none" w:sz="0" w:space="0" w:color="auto"/>
                    <w:right w:val="none" w:sz="0" w:space="0" w:color="auto"/>
                  </w:divBdr>
                  <w:divsChild>
                    <w:div w:id="234898773">
                      <w:marLeft w:val="0"/>
                      <w:marRight w:val="0"/>
                      <w:marTop w:val="0"/>
                      <w:marBottom w:val="0"/>
                      <w:divBdr>
                        <w:top w:val="none" w:sz="0" w:space="0" w:color="auto"/>
                        <w:left w:val="none" w:sz="0" w:space="0" w:color="auto"/>
                        <w:bottom w:val="none" w:sz="0" w:space="0" w:color="auto"/>
                        <w:right w:val="none" w:sz="0" w:space="0" w:color="auto"/>
                      </w:divBdr>
                      <w:divsChild>
                        <w:div w:id="106811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4775">
                  <w:marLeft w:val="0"/>
                  <w:marRight w:val="0"/>
                  <w:marTop w:val="0"/>
                  <w:marBottom w:val="0"/>
                  <w:divBdr>
                    <w:top w:val="none" w:sz="0" w:space="0" w:color="auto"/>
                    <w:left w:val="none" w:sz="0" w:space="0" w:color="auto"/>
                    <w:bottom w:val="none" w:sz="0" w:space="0" w:color="auto"/>
                    <w:right w:val="none" w:sz="0" w:space="0" w:color="auto"/>
                  </w:divBdr>
                  <w:divsChild>
                    <w:div w:id="33766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5272</Words>
  <Characters>29000</Characters>
  <Application>Microsoft Office Word</Application>
  <DocSecurity>0</DocSecurity>
  <Lines>241</Lines>
  <Paragraphs>68</Paragraphs>
  <ScaleCrop>false</ScaleCrop>
  <Company/>
  <LinksUpToDate>false</LinksUpToDate>
  <CharactersWithSpaces>34204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matheo.helou</dc:creator>
  <cp:keywords/>
  <dc:description/>
  <cp:lastModifiedBy>matheo.helou</cp:lastModifiedBy>
  <cp:revision>1</cp:revision>
  <dcterms:created xsi:type="dcterms:W3CDTF">2026-07-07T00:11:00Z</dcterms:created>
  <dcterms:modified xsi:type="dcterms:W3CDTF">2026-07-07T00:12:00Z</dcterms:modified>
</cp:coreProperties>
</file>