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1B8F7" w14:textId="7C36C104" w:rsidR="00A0053E" w:rsidRPr="00A0053E" w:rsidRDefault="00A0053E" w:rsidP="00A0053E">
      <w:pPr>
        <w:rPr>
          <w:b/>
          <w:bCs/>
        </w:rPr>
      </w:pPr>
      <w:r>
        <w:rPr>
          <w:b/>
          <w:bCs/>
        </w:rPr>
        <w:t xml:space="preserve">Informations sur l’utilisation du taux de change </w:t>
      </w:r>
      <w:r>
        <w:rPr>
          <w:b/>
          <w:bCs/>
        </w:rPr>
        <w:br/>
      </w:r>
      <w:r w:rsidRPr="00A0053E">
        <w:rPr>
          <w:b/>
          <w:bCs/>
        </w:rPr>
        <w:t>1. Pour calculer la valeur réelle de vos ETF (Le S&amp;P 500)</w:t>
      </w:r>
    </w:p>
    <w:p w14:paraId="2571A7C9" w14:textId="77777777" w:rsidR="00A0053E" w:rsidRPr="00A0053E" w:rsidRDefault="00A0053E" w:rsidP="00A0053E">
      <w:r w:rsidRPr="00A0053E">
        <w:t xml:space="preserve">Comme on l'a vu juste avant, l'ETF S&amp;P 500 suit des entreprises américaines cotées en Dollars. Si votre logiciel de gestion se contente de regarder le cours en Euros sans comprendre le Dollar, il ne pourra pas vous expliquer </w:t>
      </w:r>
      <w:r w:rsidRPr="00A0053E">
        <w:rPr>
          <w:i/>
          <w:iCs/>
        </w:rPr>
        <w:t>pourquoi</w:t>
      </w:r>
      <w:r w:rsidRPr="00A0053E">
        <w:t xml:space="preserve"> votre portefeuille monte ou baisse.</w:t>
      </w:r>
    </w:p>
    <w:p w14:paraId="143E8B83" w14:textId="77777777" w:rsidR="00A0053E" w:rsidRPr="00A0053E" w:rsidRDefault="00A0053E" w:rsidP="00A0053E">
      <w:pPr>
        <w:numPr>
          <w:ilvl w:val="0"/>
          <w:numId w:val="1"/>
        </w:numPr>
      </w:pPr>
      <w:r w:rsidRPr="00A0053E">
        <w:rPr>
          <w:b/>
          <w:bCs/>
        </w:rPr>
        <w:t>La transparence :</w:t>
      </w:r>
      <w:r w:rsidRPr="00A0053E">
        <w:t xml:space="preserve"> Un bon logiciel doit être capable de vous dire : </w:t>
      </w:r>
      <w:r w:rsidRPr="00A0053E">
        <w:rPr>
          <w:i/>
          <w:iCs/>
        </w:rPr>
        <w:t>"Ce mois-ci, votre ETF S&amp;P 500 a pris +5 %. Mais attention : +3 % viennent de la hausse des actions américaines, et +2 % viennent de la hausse du Dollar par rapport à l'Euro."</w:t>
      </w:r>
    </w:p>
    <w:p w14:paraId="3E7ACAA0" w14:textId="77777777" w:rsidR="00A0053E" w:rsidRPr="00A0053E" w:rsidRDefault="00A0053E" w:rsidP="00A0053E">
      <w:pPr>
        <w:rPr>
          <w:b/>
          <w:bCs/>
        </w:rPr>
      </w:pPr>
      <w:r w:rsidRPr="00A0053E">
        <w:rPr>
          <w:b/>
          <w:bCs/>
        </w:rPr>
        <w:t>2. Pour mettre à jour les taux de change en direct (Flux en temps réel)</w:t>
      </w:r>
    </w:p>
    <w:p w14:paraId="07BC3225" w14:textId="77777777" w:rsidR="00A0053E" w:rsidRPr="00A0053E" w:rsidRDefault="00A0053E" w:rsidP="00A0053E">
      <w:r w:rsidRPr="00A0053E">
        <w:t>Le logiciel doit intégrer un convertisseur automatique lié aux banques centrales. Si vous achetez une action Apple en direct ou un ETF international, le logiciel doit convertir instantanément la valeur en Euros dans votre tableau de bord global, au centime près, selon le taux du jour.</w:t>
      </w:r>
    </w:p>
    <w:p w14:paraId="59DC7CFF" w14:textId="77777777" w:rsidR="00A0053E" w:rsidRPr="00A0053E" w:rsidRDefault="00A0053E" w:rsidP="00A0053E">
      <w:pPr>
        <w:rPr>
          <w:b/>
          <w:bCs/>
        </w:rPr>
      </w:pPr>
      <w:r w:rsidRPr="00A0053E">
        <w:rPr>
          <w:b/>
          <w:bCs/>
        </w:rPr>
        <w:t>3. Pour anticiper les frais cachés</w:t>
      </w:r>
    </w:p>
    <w:p w14:paraId="7AB42E61" w14:textId="77777777" w:rsidR="00A0053E" w:rsidRPr="00A0053E" w:rsidRDefault="00A0053E" w:rsidP="00A0053E">
      <w:r w:rsidRPr="00A0053E">
        <w:t xml:space="preserve">Quand vous achetez des actifs hors de la zone Euro sur une assurance-vie ou un compte-titres, les courtiers prennent des </w:t>
      </w:r>
      <w:r w:rsidRPr="00A0053E">
        <w:rPr>
          <w:b/>
          <w:bCs/>
        </w:rPr>
        <w:t>frais de change</w:t>
      </w:r>
      <w:r w:rsidRPr="00A0053E">
        <w:t xml:space="preserve"> (souvent entre 0,1 % et 0,5 %). Si le logiciel intègre les autres monnaies, il peut calculer et vous afficher le coût réel de vos transactions.</w:t>
      </w:r>
    </w:p>
    <w:p w14:paraId="4DB6C5C4" w14:textId="77777777" w:rsidR="001A408B" w:rsidRDefault="001A408B"/>
    <w:sectPr w:rsidR="001A4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E65C6"/>
    <w:multiLevelType w:val="multilevel"/>
    <w:tmpl w:val="3BFE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40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3E"/>
    <w:rsid w:val="001A408B"/>
    <w:rsid w:val="0061267F"/>
    <w:rsid w:val="00856321"/>
    <w:rsid w:val="00A0053E"/>
    <w:rsid w:val="00AD77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9DC9"/>
  <w15:chartTrackingRefBased/>
  <w15:docId w15:val="{F881C2DD-4A1B-4A0F-9AF7-E7FA3548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0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00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0053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0053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0053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005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053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053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05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053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0053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0053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0053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0053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005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05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05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053E"/>
    <w:rPr>
      <w:rFonts w:eastAsiaTheme="majorEastAsia" w:cstheme="majorBidi"/>
      <w:color w:val="272727" w:themeColor="text1" w:themeTint="D8"/>
    </w:rPr>
  </w:style>
  <w:style w:type="paragraph" w:styleId="Titre">
    <w:name w:val="Title"/>
    <w:basedOn w:val="Normal"/>
    <w:next w:val="Normal"/>
    <w:link w:val="TitreCar"/>
    <w:uiPriority w:val="10"/>
    <w:qFormat/>
    <w:rsid w:val="00A0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05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05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05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053E"/>
    <w:pPr>
      <w:spacing w:before="160"/>
      <w:jc w:val="center"/>
    </w:pPr>
    <w:rPr>
      <w:i/>
      <w:iCs/>
      <w:color w:val="404040" w:themeColor="text1" w:themeTint="BF"/>
    </w:rPr>
  </w:style>
  <w:style w:type="character" w:customStyle="1" w:styleId="CitationCar">
    <w:name w:val="Citation Car"/>
    <w:basedOn w:val="Policepardfaut"/>
    <w:link w:val="Citation"/>
    <w:uiPriority w:val="29"/>
    <w:rsid w:val="00A0053E"/>
    <w:rPr>
      <w:i/>
      <w:iCs/>
      <w:color w:val="404040" w:themeColor="text1" w:themeTint="BF"/>
    </w:rPr>
  </w:style>
  <w:style w:type="paragraph" w:styleId="Paragraphedeliste">
    <w:name w:val="List Paragraph"/>
    <w:basedOn w:val="Normal"/>
    <w:uiPriority w:val="34"/>
    <w:qFormat/>
    <w:rsid w:val="00A0053E"/>
    <w:pPr>
      <w:ind w:left="720"/>
      <w:contextualSpacing/>
    </w:pPr>
  </w:style>
  <w:style w:type="character" w:styleId="Accentuationintense">
    <w:name w:val="Intense Emphasis"/>
    <w:basedOn w:val="Policepardfaut"/>
    <w:uiPriority w:val="21"/>
    <w:qFormat/>
    <w:rsid w:val="00A0053E"/>
    <w:rPr>
      <w:i/>
      <w:iCs/>
      <w:color w:val="2F5496" w:themeColor="accent1" w:themeShade="BF"/>
    </w:rPr>
  </w:style>
  <w:style w:type="paragraph" w:styleId="Citationintense">
    <w:name w:val="Intense Quote"/>
    <w:basedOn w:val="Normal"/>
    <w:next w:val="Normal"/>
    <w:link w:val="CitationintenseCar"/>
    <w:uiPriority w:val="30"/>
    <w:qFormat/>
    <w:rsid w:val="00A00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0053E"/>
    <w:rPr>
      <w:i/>
      <w:iCs/>
      <w:color w:val="2F5496" w:themeColor="accent1" w:themeShade="BF"/>
    </w:rPr>
  </w:style>
  <w:style w:type="character" w:styleId="Rfrenceintense">
    <w:name w:val="Intense Reference"/>
    <w:basedOn w:val="Policepardfaut"/>
    <w:uiPriority w:val="32"/>
    <w:qFormat/>
    <w:rsid w:val="00A005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336407">
      <w:bodyDiv w:val="1"/>
      <w:marLeft w:val="0"/>
      <w:marRight w:val="0"/>
      <w:marTop w:val="0"/>
      <w:marBottom w:val="0"/>
      <w:divBdr>
        <w:top w:val="none" w:sz="0" w:space="0" w:color="auto"/>
        <w:left w:val="none" w:sz="0" w:space="0" w:color="auto"/>
        <w:bottom w:val="none" w:sz="0" w:space="0" w:color="auto"/>
        <w:right w:val="none" w:sz="0" w:space="0" w:color="auto"/>
      </w:divBdr>
    </w:div>
    <w:div w:id="180946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1097</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matheo.helou</dc:creator>
  <cp:keywords/>
  <dc:description/>
  <cp:lastModifiedBy>matheo.helou</cp:lastModifiedBy>
  <cp:revision>1</cp:revision>
  <dcterms:created xsi:type="dcterms:W3CDTF">2026-06-30T23:08:00Z</dcterms:created>
  <dcterms:modified xsi:type="dcterms:W3CDTF">2026-06-30T23:09:00Z</dcterms:modified>
</cp:coreProperties>
</file>