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0"/>
        <w:jc w:val="center"/>
      </w:pPr>
      <w:r>
        <w:rPr>
          <w:b/>
          <w:bCs/>
          <w:color w:val="1E3A5F"/>
          <w:sz w:val="56"/>
          <w:szCs w:val="56"/>
        </w:rPr>
        <w:t xml:space="preserve">FONDORA</w:t>
      </w:r>
      <w:r>
        <w:rPr>
          <w:b w:val="false"/>
          <w:bCs w:val="false"/>
          <w:color w:val="6B7280"/>
          <w:sz w:val="28"/>
          <w:szCs w:val="28"/>
        </w:rPr>
        <w:br/>
        <w:t xml:space="preserve">
Plan de Création — Version Enrichie</w:t>
      </w:r>
    </w:p>
    <w:p>
      <w:pPr>
        <w:spacing w:after="120"/>
      </w:pPr>
      <w:r>
        <w:rPr>
          <w:i/>
          <w:iCs/>
          <w:color w:val="6B7280"/>
          <w:sz w:val="19"/>
          <w:szCs w:val="19"/>
        </w:rPr>
        <w:t xml:space="preserve">💡 Chaque étape donne une version testable. Les sections marquées ✅ AJOUT sont de nouveaux éléments intégrés suite à l'analyse du plan initial.</w:t>
      </w:r>
    </w:p>
    <w:p>
      <w:pPr>
        <w:pBdr>
          <w:bottom w:val="single" w:color="6B7280" w:sz="6" w:space="1"/>
        </w:pBdr>
        <w:spacing w:after="200" w:before="200"/>
      </w:pPr>
    </w:p>
    <w:p>
      <w:pPr>
        <w:pStyle w:val="Heading1"/>
        <w:spacing w:after="200" w:before="400"/>
      </w:pPr>
      <w:r>
        <w:rPr>
          <w:b/>
          <w:bCs/>
          <w:color w:val="1E3A5F"/>
          <w:sz w:val="32"/>
          <w:szCs w:val="32"/>
        </w:rPr>
        <w:t xml:space="preserve">Étapes 1 à 8 — Fondations &amp; Modules Core</w:t>
      </w:r>
    </w:p>
    <w:p>
      <w:pPr>
        <w:spacing w:after="120"/>
      </w:pPr>
      <w:r>
        <w:rPr>
          <w:sz w:val="20"/>
          <w:szCs w:val="20"/>
        </w:rPr>
        <w:t xml:space="preserve">Ces étapes restent inchangées par rapport au plan initial.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0"/>
          <w:szCs w:val="20"/>
        </w:rPr>
        <w:t xml:space="preserve">Étape 1 — Fondations : repo, structure, Supabase, Vercel ("Hello Fondora")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0"/>
          <w:szCs w:val="20"/>
        </w:rPr>
        <w:t xml:space="preserve">Étape 2 — Authentification : email + Google, profil, RLS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0"/>
          <w:szCs w:val="20"/>
        </w:rPr>
        <w:t xml:space="preserve">Étape 3 — Charte graphique : thème bleu marine/gris/blanc/émeraude, layout, navigation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0"/>
          <w:szCs w:val="20"/>
        </w:rPr>
        <w:t xml:space="preserve">Étape 4 — Comptes : création/gestion (courant, épargne, crédit…)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0"/>
          <w:szCs w:val="20"/>
        </w:rPr>
        <w:t xml:space="preserve">Étape 5 — Transactions : saisie manuelle, catégories, dépenses récurrentes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0"/>
          <w:szCs w:val="20"/>
        </w:rPr>
        <w:t xml:space="preserve">Étape 6 — Budget : budgets par catégorie, alertes dépassement, graphique Sankey + donut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0"/>
          <w:szCs w:val="20"/>
        </w:rPr>
        <w:t xml:space="preserve">Étape 7 — Visualisations comparatives : diagrammes mois/mois, courbes d'évolution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0"/>
          <w:szCs w:val="20"/>
        </w:rPr>
        <w:t xml:space="preserve">Étape 8 — Prévisions &amp; épargne : projection fin de mois, taux d'épargne, objectifs</w:t>
      </w:r>
    </w:p>
    <w:p>
      <w:pPr>
        <w:pBdr>
          <w:bottom w:val="single" w:color="6B7280" w:sz="6" w:space="1"/>
        </w:pBdr>
        <w:spacing w:after="200" w:before="200"/>
      </w:pPr>
    </w:p>
    <w:p>
      <w:pPr>
        <w:spacing w:after="100" w:before="200"/>
      </w:pPr>
      <w:r>
        <w:rPr>
          <w:b/>
          <w:bCs/>
          <w:color w:val="7C3AED"/>
          <w:sz w:val="22"/>
          <w:szCs w:val="22"/>
        </w:rPr>
        <w:t xml:space="preserve">✅ AJOUT — Étape 2.BIS — Onboarding Wizard (Nouveau)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Étape 2.BIS — Onboarding Wizard Utilisateur</w:t>
      </w:r>
    </w:p>
    <w:p>
      <w:pPr>
        <w:spacing w:after="120"/>
      </w:pPr>
      <w:r>
        <w:rPr>
          <w:sz w:val="20"/>
          <w:szCs w:val="20"/>
        </w:rPr>
        <w:t xml:space="preserve">Un utilisateur qui arrive sur une application vide abandonne. Cette étape crée un flux de bienvenue guidé immédiatement après l'inscription.</w:t>
      </w:r>
    </w:p>
    <w:p>
      <w:pPr>
        <w:pStyle w:val="Heading3"/>
        <w:spacing w:after="100" w:before="200"/>
      </w:pPr>
      <w:r>
        <w:rPr>
          <w:b/>
          <w:bCs/>
          <w:color w:val="1E3A5F"/>
          <w:sz w:val="22"/>
          <w:szCs w:val="22"/>
        </w:rPr>
        <w:t xml:space="preserve">Objectif</w:t>
      </w:r>
    </w:p>
    <w:p>
      <w:pPr>
        <w:spacing w:after="120"/>
      </w:pPr>
      <w:r>
        <w:rPr>
          <w:sz w:val="20"/>
          <w:szCs w:val="20"/>
        </w:rPr>
        <w:t xml:space="preserve">Collecter les informations essentielles en 5 étapes max pour préremplir l'application et créer le premier snapshot de patrimoine.</w:t>
      </w:r>
    </w:p>
    <w:p>
      <w:pPr>
        <w:pStyle w:val="Heading3"/>
        <w:spacing w:after="100" w:before="200"/>
      </w:pPr>
      <w:r>
        <w:rPr>
          <w:b/>
          <w:bCs/>
          <w:color w:val="1E3A5F"/>
          <w:sz w:val="22"/>
          <w:szCs w:val="22"/>
        </w:rPr>
        <w:t xml:space="preserve">Écrans du wizard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Écran 1 — Profil fiscal : Célibataire / Marié-Pacsé (impacte les abattements AV de l'étape 11.3)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Écran 2 — Situation patrimoniale : cocher les modules à activer (Immobilier, Bourse/ETF, Crypto, Assurance-Vie)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Écran 3 — Premier compte : ajouter au moins un compte courant avec un solde estimé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Écran 4 — Objectif principal : sélectionner parmi Épargne de précaution / Investissement / FIRE / Transmission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Écran 5 — Résumé : afficher le premier snapshot calculé et rediriger vers le Dashboard</w:t>
      </w:r>
    </w:p>
    <w:p>
      <w:pPr>
        <w:pStyle w:val="Heading3"/>
        <w:spacing w:after="100" w:before="200"/>
      </w:pPr>
      <w:r>
        <w:rPr>
          <w:b/>
          <w:bCs/>
          <w:color w:val="1E3A5F"/>
          <w:sz w:val="22"/>
          <w:szCs w:val="22"/>
        </w:rPr>
        <w:t xml:space="preserve">Base de données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Champ onboarding_completed BOOLEAN sur la table profiles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Champ objectif_principal TEXT et situation_familiale TEXT sur profiles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Un premier snapshot est généré immédiatement à la fin du wizard</w:t>
      </w:r>
    </w:p>
    <w:p>
      <w:pPr>
        <w:pStyle w:val="Heading3"/>
        <w:spacing w:after="100" w:before="200"/>
      </w:pPr>
      <w:r>
        <w:rPr>
          <w:b/>
          <w:bCs/>
          <w:color w:val="1E3A5F"/>
          <w:sz w:val="22"/>
          <w:szCs w:val="22"/>
        </w:rPr>
        <w:t xml:space="preserve">Comportement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Si onboarding_completed = false, rediriger automatiquement vers /onboarding au login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Le wizard est skip-able (bouton "Passer") mais la page d'accueil affichera un bandeau d'invitation à le compléter</w:t>
      </w:r>
    </w:p>
    <w:p>
      <w:pPr>
        <w:pBdr>
          <w:bottom w:val="single" w:color="6B7280" w:sz="6" w:space="1"/>
        </w:pBdr>
        <w:spacing w:after="200" w:before="200"/>
      </w:pPr>
    </w:p>
    <w:p>
      <w:pPr>
        <w:pStyle w:val="Heading1"/>
        <w:spacing w:after="200" w:before="400"/>
      </w:pPr>
      <w:r>
        <w:rPr>
          <w:b/>
          <w:bCs/>
          <w:color w:val="1E3A5F"/>
          <w:sz w:val="32"/>
          <w:szCs w:val="32"/>
        </w:rPr>
        <w:t xml:space="preserve">Étapes 9 &amp; 10 — Investissements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0"/>
          <w:szCs w:val="20"/>
        </w:rPr>
        <w:t xml:space="preserve">Étape 9 — Investissements (PEA/CTO) : portefeuille actions/ETF via API Finnhub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19"/>
          <w:szCs w:val="19"/>
        </w:rPr>
        <w:t xml:space="preserve">Calcul TRI et CAGR via méthode XIRR dès cette étape (ne pas attendre l'étape 11)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19"/>
          <w:szCs w:val="19"/>
        </w:rPr>
        <w:t xml:space="preserve">P&amp;L Réalisé : table transactions_investissement (ventes) → calcul des plus-values actées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19"/>
          <w:szCs w:val="19"/>
        </w:rPr>
        <w:t xml:space="preserve">Bascule € / % au clic sur le P&amp;L Latent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19"/>
          <w:szCs w:val="19"/>
        </w:rPr>
        <w:t xml:space="preserve">Score de diversification par actif/secteur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0"/>
          <w:szCs w:val="20"/>
        </w:rPr>
        <w:t xml:space="preserve">Étape 10 — Investissements (Crypto) : portefeuille crypto via CoinGecko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19"/>
          <w:szCs w:val="19"/>
        </w:rPr>
        <w:t xml:space="preserve">Historique de valorisation : graphique 7j/30j/1an/tout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19"/>
          <w:szCs w:val="19"/>
        </w:rPr>
        <w:t xml:space="preserve">P&amp;L Réalisé crypto (méthode PRU au prorata global — règle fiscale française)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sz w:val="19"/>
          <w:szCs w:val="19"/>
        </w:rPr>
        <w:t xml:space="preserve">Méthode PEPS/FIFO pour les actions, PRU pondéré pour les cryptos</w:t>
      </w:r>
    </w:p>
    <w:p>
      <w:pPr>
        <w:pBdr>
          <w:bottom w:val="single" w:color="6B7280" w:sz="6" w:space="1"/>
        </w:pBdr>
        <w:spacing w:after="200" w:before="200"/>
      </w:pPr>
    </w:p>
    <w:p>
      <w:pPr>
        <w:spacing w:after="100" w:before="200"/>
      </w:pPr>
      <w:r>
        <w:rPr>
          <w:b/>
          <w:bCs/>
          <w:color w:val="059669"/>
          <w:sz w:val="22"/>
          <w:szCs w:val="22"/>
        </w:rPr>
        <w:t xml:space="preserve">🆕 Étape 11 — Assurance Vie &amp; Analyse</w:t>
      </w:r>
    </w:p>
    <w:p>
      <w:pPr>
        <w:pStyle w:val="Heading1"/>
        <w:spacing w:after="200" w:before="400"/>
      </w:pPr>
      <w:r>
        <w:rPr>
          <w:b/>
          <w:bCs/>
          <w:color w:val="1E3A5F"/>
          <w:sz w:val="32"/>
          <w:szCs w:val="32"/>
        </w:rPr>
        <w:t xml:space="preserve">Étape 11 — Assurance Vie &amp; Analyseurs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Étape 11.1 — Module Assurance Vie</w:t>
      </w:r>
    </w:p>
    <w:p>
      <w:pPr>
        <w:spacing w:after="120"/>
      </w:pPr>
      <w:r>
        <w:rPr>
          <w:sz w:val="20"/>
          <w:szCs w:val="20"/>
        </w:rPr>
        <w:t xml:space="preserve">Tables à créer dans Supabase 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assurances_vie : id, user_id, nom, assureur, date_ouverture, frais_gestion_%, created_at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assurances_vie_versements : id, contrat_id, user_id, date, montant, created_at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assurances_vie_valorisations : id, contrat_id, user_id, date, valeur, created_at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assurances_vie_positions : id, contrat_id, isin, nb_parts, created_at (pour les UC liées à Finnhub)</w:t>
      </w:r>
    </w:p>
    <w:p>
      <w:pPr>
        <w:spacing w:after="120"/>
      </w:pPr>
      <w:r>
        <w:rPr>
          <w:sz w:val="20"/>
          <w:szCs w:val="20"/>
        </w:rPr>
        <w:t xml:space="preserve">À coder 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Hook useAssurancesVie.js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Page /investir → 4ème onglet "Assurance Vie"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Fiche contrat : versements totaux, valeur actuelle, performance € et %, CAGR depuis ouverture (méthode XIRR pour versements multiples)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Alerte frais : champ frais_gestion_% → simulation manque à gagner sur 10/20/30 ans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Intégration dans Patrimoine : total consolidé inclut les AV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Composants : AssuranceVieCard.jsx, FormAssuranceVie.jsx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Étape 11.2 — Analyseur de Frais "Tous Comptes"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Objectif : détecter les frais invisibles (frais d'enveloppe + TER produit + courtage)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BDD : enrichir les tables avec frais_courtage_pourcentage et frais_ter_produit (code ISIN)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Algorithme : taux de frais moyen pondéré + simulation BarChart manque à gagner sur 10/20/30 ans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UI : page /analyse-frais — Score Card de Choc, badge rouge "Fonds Toxique" si TER &gt; 1.5%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Détection automatique du TER pour les ISIN connus (ex: FR0010315770 → 0.30%)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Alerte temps réel si frais_gestion_enveloppe &gt; 1% lors de la saisie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Étape 11.3 — Analyseur Fiscal &amp; Optimisation (P&amp;L Net)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Objectif : calculer l'impôt latent et afficher la valeur réelle "Net in Pocket"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Règles fiscales 2026 : CTO/Crypto 30%, PEA après 5 ans 17.2%, AV après 8 ans 24.7% avec abattement 4 600€/9 200€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Moteur de recommandations : alertes intelligentes (CTO → PEA, patience avant 8 ans AV…)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Score d'Efficacité Fiscale : jauge circulaire (Donut Chart)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Intégration profil fiscal depuis les Paramètres (Célibataire / Marié)</w:t>
      </w:r>
    </w:p>
    <w:p>
      <w:pPr>
        <w:pBdr>
          <w:bottom w:val="single" w:color="6B7280" w:sz="6" w:space="1"/>
        </w:pBdr>
        <w:spacing w:after="200" w:before="200"/>
      </w:pPr>
    </w:p>
    <w:p>
      <w:pPr>
        <w:spacing w:after="100" w:before="200"/>
      </w:pPr>
      <w:r>
        <w:rPr>
          <w:b/>
          <w:bCs/>
          <w:color w:val="7C3AED"/>
          <w:sz w:val="22"/>
          <w:szCs w:val="22"/>
        </w:rPr>
        <w:t xml:space="preserve">✅ AJOUT — Étape 11.BIS — Système de Notifications &amp; Alertes (Nouveau)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Étape 11.BIS — Notifications In-App &amp; Email</w:t>
      </w:r>
    </w:p>
    <w:p>
      <w:pPr>
        <w:spacing w:after="120"/>
      </w:pPr>
      <w:r>
        <w:rPr>
          <w:sz w:val="20"/>
          <w:szCs w:val="20"/>
        </w:rPr>
        <w:t xml:space="preserve">Les alertes sont définies dans l'UI mais n'ont pas de canal de livraison. Cette étape crée un système de notifications complet.</w:t>
      </w:r>
    </w:p>
    <w:p>
      <w:pPr>
        <w:pStyle w:val="Heading3"/>
        <w:spacing w:after="100" w:before="200"/>
      </w:pPr>
      <w:r>
        <w:rPr>
          <w:b/>
          <w:bCs/>
          <w:color w:val="1E3A5F"/>
          <w:sz w:val="22"/>
          <w:szCs w:val="22"/>
        </w:rPr>
        <w:t xml:space="preserve">Types d'alertes à implémenter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Budget dépassé à 80% / 100% dans une catégorie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Assurance-Vie qui approche des 8 ans (alerte à J-90, J-30, J-7)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Fin de crédit dans moins de 6 mois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Performance mensuelle du portefeuille (résumé hebdomadaire optionnel)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Rappel de réévaluer un actif tangible (tous les 6 mois)</w:t>
      </w:r>
    </w:p>
    <w:p>
      <w:pPr>
        <w:pStyle w:val="Heading3"/>
        <w:spacing w:after="100" w:before="200"/>
      </w:pPr>
      <w:r>
        <w:rPr>
          <w:b/>
          <w:bCs/>
          <w:color w:val="1E3A5F"/>
          <w:sz w:val="22"/>
          <w:szCs w:val="22"/>
        </w:rPr>
        <w:t xml:space="preserve">Architecture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Table alertes_utilisateur : id, user_id, type, seuil, canal (in_app / email), actif BOOLEAN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Table notifications_log : id, user_id, message, lu BOOLEAN, created_at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Edge Function Supabase pour générer les notifications quotidiennes (couplée au cron 23h59)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Envoi email via Resend (gratuit jusqu'à 3 000 emails/mois) ou Supabase SMTP</w:t>
      </w:r>
    </w:p>
    <w:p>
      <w:pPr>
        <w:pStyle w:val="Heading3"/>
        <w:spacing w:after="100" w:before="200"/>
      </w:pPr>
      <w:r>
        <w:rPr>
          <w:b/>
          <w:bCs/>
          <w:color w:val="1E3A5F"/>
          <w:sz w:val="22"/>
          <w:szCs w:val="22"/>
        </w:rPr>
        <w:t xml:space="preserve">UI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Icône cloche dans le Header avec badge compteur de non-lus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Panel slide-over listant les notifications récentes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Page /parametres → section "Mes alertes" pour activer/désactiver chaque type</w:t>
      </w:r>
    </w:p>
    <w:p>
      <w:pPr>
        <w:pBdr>
          <w:bottom w:val="single" w:color="6B7280" w:sz="6" w:space="1"/>
        </w:pBdr>
        <w:spacing w:after="200" w:before="200"/>
      </w:pPr>
    </w:p>
    <w:p>
      <w:pPr>
        <w:spacing w:after="100" w:before="200"/>
      </w:pPr>
      <w:r>
        <w:rPr>
          <w:b/>
          <w:bCs/>
          <w:color w:val="059669"/>
          <w:sz w:val="22"/>
          <w:szCs w:val="22"/>
        </w:rPr>
        <w:t xml:space="preserve">🆕 Étape 12 — Multi-devises, Passifs &amp; Actifs Tangibles</w:t>
      </w:r>
    </w:p>
    <w:p>
      <w:pPr>
        <w:pStyle w:val="Heading1"/>
        <w:spacing w:after="200" w:before="400"/>
      </w:pPr>
      <w:r>
        <w:rPr>
          <w:b/>
          <w:bCs/>
          <w:color w:val="1E3A5F"/>
          <w:sz w:val="32"/>
          <w:szCs w:val="32"/>
        </w:rPr>
        <w:t xml:space="preserve">Étape 12 — Multi-devises, Passifs &amp; Actifs Tangibles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Étape 12.1 — Module Multi-Devises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Hook useTauxChange.js → API Frankfurter (gratuit, sans clé) : https://api.frankfurter.app/latest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Fallback : API CoinGecko si devise non supportée par Frankfurter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Champ devise sur la table comptes → conversion automatique en EUR dans tous les totaux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Paramètre utilisateur : devise de référence (EUR par défaut) stocké dans le profil Supabase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Affichage taux EUR/USD actuel dans Paramètres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BDD : montant_devise_originale + devise_originale sur toutes les transactions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Transparence : décomposition gain ETF S&amp;P 500 = hausse actions + hausse Dollar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Affichage des frais de change estimés (0.1% à 0.5%) pour les actifs hors zone Euro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Étape 12.2 — Centralisation des Passifs (Dettes Globales)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Suppression de l'ancienne table credits_immobiliers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Table unique dettes : Immobilier, Consommation, Automobile, Dette Privée, Fiscale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Calcul Capital Restant Dû (CRD) en temps réel via tableau d'amortissement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Lien relationnel bien_immobilier_id pour les dettes immobilières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Étape 12.3 — Coffre-Fort des Actifs Tangibles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Table actifs_tangibles : Or/Métaux, Montres, Art, Voitures de collection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Historique des estimations de valeur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Widget taux d'endettement global (Total Dettes / Total Actifs Bruts)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Étape 12.4 — Liaison Automatique Dette → Budget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Trigger PostgreSQL : insertion auto de la mensualité dans transactions chaque mois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Catégorie automatique "Crédits &amp; Dettes" dans le budget</w:t>
      </w:r>
    </w:p>
    <w:p>
      <w:pPr>
        <w:pBdr>
          <w:bottom w:val="single" w:color="6B7280" w:sz="6" w:space="1"/>
        </w:pBdr>
        <w:spacing w:after="200" w:before="200"/>
      </w:pPr>
    </w:p>
    <w:p>
      <w:pPr>
        <w:spacing w:after="100" w:before="200"/>
      </w:pPr>
      <w:r>
        <w:rPr>
          <w:b/>
          <w:bCs/>
          <w:color w:val="059669"/>
          <w:sz w:val="22"/>
          <w:szCs w:val="22"/>
        </w:rPr>
        <w:t xml:space="preserve">🆕 Étape 13 — Paramètres, Sécurité &amp; Confidentialité</w:t>
      </w:r>
    </w:p>
    <w:p>
      <w:pPr>
        <w:pStyle w:val="Heading1"/>
        <w:spacing w:after="200" w:before="400"/>
      </w:pPr>
      <w:r>
        <w:rPr>
          <w:b/>
          <w:bCs/>
          <w:color w:val="1E3A5F"/>
          <w:sz w:val="32"/>
          <w:szCs w:val="32"/>
        </w:rPr>
        <w:t xml:space="preserve">Étape 13 — Paramètres, Sécurité &amp; Confidentialité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Étape 13.1 — Page Paramètres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Section Profil : nom/email, mot de passe, situation familiale (Célibataire / Marié-Pacsé)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Section Préférences : devise principale, modules actifs (Crypto, Immobilier, AV…)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Section Catégories : lister/ajouter/modifier/supprimer les catégories personnalisées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Section Règles de catégorisation : table smart_rules (mot_cle → categorie_id) avec champ priorite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Section Compte : bouton "Supprimer mon compte" (cascade sur toutes les tables)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Section Notifications : activer/désactiver chaque type d'alerte (lié à l'étape 11.BIS)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Étape 13.2 — Double Authentification (2FA/MFA)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Enrôlement TOTP natif via API Supabase (Google Authenticator, Bitwarden)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Écran QR Code + clés de secours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Middleware Zero-Trust : contrôle niveau AMR à chaque changement de page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Redirection forcée vers /auth/verify-mfa si 2FA actif mais non validé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Étape 13.3 — Chiffrement Avancé (pgsodium)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Extension pgsodium sur Supabase pour chiffrement au niveau colonne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Colonnes chiffrées : jetons d'API, notes personnelles, estimations objets de haute valeur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Étape 13.4 — Mode Incognito (Visual Snooping Protection)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Contexte global React IncognitoContext.jsx connecté à un bouton œil dans le Header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Composant &lt;SecureValue /&gt; avec blur-sm sur tous les chiffres du patrimoine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Désactivation de la sélection textuelle en mode incognito</w:t>
      </w:r>
    </w:p>
    <w:p>
      <w:pPr>
        <w:pBdr>
          <w:bottom w:val="single" w:color="6B7280" w:sz="6" w:space="1"/>
        </w:pBdr>
        <w:spacing w:after="200" w:before="200"/>
      </w:pPr>
    </w:p>
    <w:p>
      <w:pPr>
        <w:spacing w:after="100" w:before="200"/>
      </w:pPr>
      <w:r>
        <w:rPr>
          <w:b/>
          <w:bCs/>
          <w:color w:val="7C3AED"/>
          <w:sz w:val="22"/>
          <w:szCs w:val="22"/>
        </w:rPr>
        <w:t xml:space="preserve">✅ AJOUT — Étape 13.BIS — Conformité RGPD (Nouveau — Obligatoire)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Étape 13.BIS — Conformité RGPD &amp; Légal</w:t>
      </w:r>
    </w:p>
    <w:p>
      <w:pPr>
        <w:spacing w:after="120"/>
      </w:pPr>
      <w:r>
        <w:rPr>
          <w:sz w:val="20"/>
          <w:szCs w:val="20"/>
        </w:rPr>
        <w:t xml:space="preserve">Application stockant des données financières personnelles de résidents français/européens → conformité RGPD non-négociable légalement.</w:t>
      </w:r>
    </w:p>
    <w:p>
      <w:pPr>
        <w:pStyle w:val="Heading3"/>
        <w:spacing w:after="100" w:before="200"/>
      </w:pPr>
      <w:r>
        <w:rPr>
          <w:b/>
          <w:bCs/>
          <w:color w:val="1E3A5F"/>
          <w:sz w:val="22"/>
          <w:szCs w:val="22"/>
        </w:rPr>
        <w:t xml:space="preserve">Documents légaux à créer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Politique de Confidentialité (liste des données collectées, durée de conservation, sous-traitants : Supabase, Vercel)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Conditions Générales d'Utilisation (CGU)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Politique de Cookies (si analytics activé)</w:t>
      </w:r>
    </w:p>
    <w:p>
      <w:pPr>
        <w:pStyle w:val="Heading3"/>
        <w:spacing w:after="100" w:before="200"/>
      </w:pPr>
      <w:r>
        <w:rPr>
          <w:b/>
          <w:bCs/>
          <w:color w:val="1E3A5F"/>
          <w:sz w:val="22"/>
          <w:szCs w:val="22"/>
        </w:rPr>
        <w:t xml:space="preserve">Fonctionnalités techniques obligatoires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Bannière de consentement cookies au premier accès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Droit à l'oubli : le bouton "Supprimer mon compte" doit purger toutes les données (vérifier que le CASCADE est complet)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Droit d'accès : page /mes-donnees permettant à l'utilisateur de télécharger toutes ses données en JSON/CSV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Registre des traitements : document interne listant les finalités de traitement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Mentions légales : nom de l'éditeur, hébergeur, contact</w:t>
      </w:r>
    </w:p>
    <w:p>
      <w:pPr>
        <w:pStyle w:val="Heading3"/>
        <w:spacing w:after="100" w:before="200"/>
      </w:pPr>
      <w:r>
        <w:rPr>
          <w:b/>
          <w:bCs/>
          <w:color w:val="1E3A5F"/>
          <w:sz w:val="22"/>
          <w:szCs w:val="22"/>
        </w:rPr>
        <w:t xml:space="preserve">Implémentation technique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Table consentements : id, user_id, type (cookies/cgu), version, date_acceptation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Versionner les CGU/Politique : si nouvelle version, demander re-consentement à la connexion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Page /export-donnees : génère un ZIP de toutes les données de l'utilisateur (comptes, transactions, positions, snapshots)</w:t>
      </w:r>
    </w:p>
    <w:p>
      <w:pPr>
        <w:spacing w:after="120"/>
      </w:pPr>
      <w:r>
        <w:rPr>
          <w:i/>
          <w:iCs/>
          <w:color w:val="6B7280"/>
          <w:sz w:val="19"/>
          <w:szCs w:val="19"/>
        </w:rPr>
        <w:t xml:space="preserve">💡 Supabase (AWS eu-west-1 ou eu-central-1) est conforme RGPD. Vérifier que le projet est créé sur une région européenne.</w:t>
      </w:r>
    </w:p>
    <w:p>
      <w:pPr>
        <w:pBdr>
          <w:bottom w:val="single" w:color="6B7280" w:sz="6" w:space="1"/>
        </w:pBdr>
        <w:spacing w:after="200" w:before="200"/>
      </w:pPr>
    </w:p>
    <w:p>
      <w:pPr>
        <w:spacing w:after="100" w:before="200"/>
      </w:pPr>
      <w:r>
        <w:rPr>
          <w:b/>
          <w:bCs/>
          <w:color w:val="059669"/>
          <w:sz w:val="22"/>
          <w:szCs w:val="22"/>
        </w:rPr>
        <w:t xml:space="preserve">🆕 Étape 14 — Import CSV &amp; Snapshots</w:t>
      </w:r>
    </w:p>
    <w:p>
      <w:pPr>
        <w:pStyle w:val="Heading1"/>
        <w:spacing w:after="200" w:before="400"/>
      </w:pPr>
      <w:r>
        <w:rPr>
          <w:b/>
          <w:bCs/>
          <w:color w:val="1E3A5F"/>
          <w:sz w:val="32"/>
          <w:szCs w:val="32"/>
        </w:rPr>
        <w:t xml:space="preserve">Étape 14 — Import CSV &amp; Automatisation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Étape 14.1 — Import CSV Enrichi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PapaParse pour le parsing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Modal "Importer un CSV" dans la page Budget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Détection automatique des formats bancaires français (BNP, Boursorama, CA, SG, Crédit Mutuel)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Application des smart_rules à l'import → catégorisation automatique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Mapper Visuel : si format non reconnu, afficher les 3 premières lignes et demander le mapping des colonnes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Sauvegarder le template de mapping par utilisateur et par banque pour les prochains imports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Modification par lot : changer la catégorie de plusieurs transactions en un clic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Transactions non reconnues → popup "Quelle catégorie ?" → mémorise via smart_rules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Étape 14.2 — Moteur de Snapshots Automatiques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Table snapshot_patrimoine avec contrainte UNIQUE(user_id, date)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Colonnes : total_cash, total_bourse, total_crypto, total_assurance_vie, total_immo_net, total_tangible, total_dettes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pg_cron à 23h59 chaque nuit pour tous les utilisateurs actifs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Premier snapshot immédiat à la fin du wizard d'onboarding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Étape 14.3 — Graphique d'Évolution en Aires Empilées (Net Worth)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Hook React useHistoriquePatrimoine gérant filtrage 1M, 6M, 1Y, ALL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Stacked Area Chart Recharts : croissance globale + allocation par couche de couleur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Mode incognito : blur-sm sur les valeurs de l'axe Y</w:t>
      </w:r>
    </w:p>
    <w:p>
      <w:pPr>
        <w:pBdr>
          <w:bottom w:val="single" w:color="6B7280" w:sz="6" w:space="1"/>
        </w:pBdr>
        <w:spacing w:after="200" w:before="200"/>
      </w:pPr>
    </w:p>
    <w:p>
      <w:pPr>
        <w:spacing w:after="100" w:before="200"/>
      </w:pPr>
      <w:r>
        <w:rPr>
          <w:b/>
          <w:bCs/>
          <w:color w:val="059669"/>
          <w:sz w:val="22"/>
          <w:szCs w:val="22"/>
        </w:rPr>
        <w:t xml:space="preserve">🆕 Étape 15 — Enrichissements Investissements</w:t>
      </w:r>
    </w:p>
    <w:p>
      <w:pPr>
        <w:pStyle w:val="Heading1"/>
        <w:spacing w:after="200" w:before="400"/>
      </w:pPr>
      <w:r>
        <w:rPr>
          <w:b/>
          <w:bCs/>
          <w:color w:val="1E3A5F"/>
          <w:sz w:val="32"/>
          <w:szCs w:val="32"/>
        </w:rPr>
        <w:t xml:space="preserve">Étape 15 — Enrichissements Investissements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Actions/ETF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P&amp;L Réalisé : table transactions_investissement (ventes) → calcul des plus-values actées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TRI et CAGR calculés via méthode XIRR (versements multiples)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Score de diversification : exposition par actif/secteur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Méthode PRU (Prix de Revient Unitaire pondéré) pour les actions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Crypto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Historique de valorisation : graphique 7j/30j/1an/tout via CoinGecko history endpoint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P&amp;L Réalisé crypto : méthode PRU au prorata global (règle fiscale française)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Cache des Prix (Sécurité API)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Table asset_prices_cache dans Supabase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Edge Function ou GitHub Action cron pour mettre à jour les prix 1 à 2 fois par jour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Le front-end interroge uniquement la table Supabase — jamais Finnhub directement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Si &gt; 20 positions : cache côté Edge Function pour ne pas dépasser 60 appels/minute Finnhub</w:t>
      </w:r>
    </w:p>
    <w:p>
      <w:pPr>
        <w:pBdr>
          <w:bottom w:val="single" w:color="6B7280" w:sz="6" w:space="1"/>
        </w:pBdr>
        <w:spacing w:after="200" w:before="200"/>
      </w:pPr>
    </w:p>
    <w:p>
      <w:pPr>
        <w:spacing w:after="100" w:before="200"/>
      </w:pPr>
      <w:r>
        <w:rPr>
          <w:b/>
          <w:bCs/>
          <w:color w:val="059669"/>
          <w:sz w:val="22"/>
          <w:szCs w:val="22"/>
        </w:rPr>
        <w:t xml:space="preserve">🆕 Étape 16 — Prévisions Enrichies &amp; Simulateur FIRE</w:t>
      </w:r>
    </w:p>
    <w:p>
      <w:pPr>
        <w:pStyle w:val="Heading1"/>
        <w:spacing w:after="200" w:before="400"/>
      </w:pPr>
      <w:r>
        <w:rPr>
          <w:b/>
          <w:bCs/>
          <w:color w:val="1E3A5F"/>
          <w:sz w:val="32"/>
          <w:szCs w:val="32"/>
        </w:rPr>
        <w:t xml:space="preserve">Étape 16 — Prévisions Enrichies &amp; Simulateur de Destins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A. Moteur de Calcul Réaliste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Boucle année par année (pas de formule brute)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Friction des frais : rendement = marché - pourcentageFraisMoyen (depuis étape 11.2)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Friction de l'inflation : résultats en euros constants (pouvoir d'achat réel)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FIRE Net d'Impôts : Target Number surdimensionné selon l'enveloppe source (CTO 15% plus élevé qu'un PEA)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B. Curseur de Stress de Marché Délinéarisé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🟢 Scénario Optimiste : +8% (frais déduits), épargne stable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🟡 Scénario Neutre : +5% (frais déduits), inflation à 2%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🔴 Scénario "Grande Crise" : -25% entre an 2-5, stagnation 2 ans, reprise +6%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Visualisation du risque de séquence des rendements (crise en début vs fin de phase)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C. Éditeur d'Événements de Vie Dynamiques</w:t>
      </w:r>
    </w:p>
    <w:p>
      <w:pPr>
        <w:spacing w:after="120"/>
      </w:pPr>
      <w:r>
        <w:rPr>
          <w:sz w:val="20"/>
          <w:szCs w:val="20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1E3A5F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Événement</w:t>
            </w:r>
          </w:p>
        </w:tc>
        <w:tc>
          <w:tcPr>
            <w:tcW w:type="dxa" w:w="3000"/>
            <w:shd w:fill="1E3A5F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Impact simulateur</w:t>
            </w:r>
          </w:p>
        </w:tc>
        <w:tc>
          <w:tcPr>
            <w:tcW w:type="dxa" w:w="3000"/>
            <w:shd w:fill="1E3A5F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Connexion étapes</w:t>
            </w:r>
          </w:p>
        </w:tc>
      </w:tr>
      <w:tr>
        <w:tc>
          <w:tcPr>
            <w:tcW w:type="dxa" w:w="3000"/>
            <w:shd w:fill="FFFFFF" w:val="clear"/>
          </w:tcPr>
          <w:p>
            <w:r>
              <w:rPr>
                <w:sz w:val="18"/>
                <w:szCs w:val="18"/>
              </w:rPr>
              <w:t xml:space="preserve">Achat Immobilier</w:t>
            </w:r>
          </w:p>
        </w:tc>
        <w:tc>
          <w:tcPr>
            <w:tcW w:type="dxa" w:w="3000"/>
            <w:shd w:fill="FFFFFF" w:val="clear"/>
          </w:tcPr>
          <w:p>
            <w:r>
              <w:rPr>
                <w:sz w:val="18"/>
                <w:szCs w:val="18"/>
              </w:rPr>
              <w:t xml:space="preserve">Injection apport, hausse patrimoine brut, ajout dette</w:t>
            </w:r>
          </w:p>
        </w:tc>
        <w:tc>
          <w:tcPr>
            <w:tcW w:type="dxa" w:w="3000"/>
            <w:shd w:fill="FFFFFF" w:val="clear"/>
          </w:tcPr>
          <w:p>
            <w:r>
              <w:rPr>
                <w:sz w:val="18"/>
                <w:szCs w:val="18"/>
              </w:rPr>
              <w:t xml:space="preserve">Étapes 12.1 &amp; 12.3</w:t>
            </w:r>
          </w:p>
        </w:tc>
      </w:tr>
      <w:tr>
        <w:tc>
          <w:tcPr>
            <w:tcW w:type="dxa" w:w="3000"/>
            <w:shd w:fill="F3F4F6" w:val="clear"/>
          </w:tcPr>
          <w:p>
            <w:r>
              <w:rPr>
                <w:sz w:val="18"/>
                <w:szCs w:val="18"/>
              </w:rPr>
              <w:t xml:space="preserve">Fin d'un Crédit</w:t>
            </w:r>
          </w:p>
        </w:tc>
        <w:tc>
          <w:tcPr>
            <w:tcW w:type="dxa" w:w="3000"/>
            <w:shd w:fill="F3F4F6" w:val="clear"/>
          </w:tcPr>
          <w:p>
            <w:r>
              <w:rPr>
                <w:sz w:val="18"/>
                <w:szCs w:val="18"/>
              </w:rPr>
              <w:t xml:space="preserve">Mensualité → capacité d'épargne mensuelle</w:t>
            </w:r>
          </w:p>
        </w:tc>
        <w:tc>
          <w:tcPr>
            <w:tcW w:type="dxa" w:w="3000"/>
            <w:shd w:fill="F3F4F6" w:val="clear"/>
          </w:tcPr>
          <w:p>
            <w:r>
              <w:rPr>
                <w:sz w:val="18"/>
                <w:szCs w:val="18"/>
              </w:rPr>
              <w:t xml:space="preserve">Étape 12.4 Budget</w:t>
            </w:r>
          </w:p>
        </w:tc>
      </w:tr>
      <w:tr>
        <w:tc>
          <w:tcPr>
            <w:tcW w:type="dxa" w:w="3000"/>
            <w:shd w:fill="FFFFFF" w:val="clear"/>
          </w:tcPr>
          <w:p>
            <w:r>
              <w:rPr>
                <w:sz w:val="18"/>
                <w:szCs w:val="18"/>
              </w:rPr>
              <w:t xml:space="preserve">Héritage / Vente</w:t>
            </w:r>
          </w:p>
        </w:tc>
        <w:tc>
          <w:tcPr>
            <w:tcW w:type="dxa" w:w="3000"/>
            <w:shd w:fill="FFFFFF" w:val="clear"/>
          </w:tcPr>
          <w:p>
            <w:r>
              <w:rPr>
                <w:sz w:val="18"/>
                <w:szCs w:val="18"/>
              </w:rPr>
              <w:t xml:space="preserve">Injection capital One-Shot à l'année N</w:t>
            </w:r>
          </w:p>
        </w:tc>
        <w:tc>
          <w:tcPr>
            <w:tcW w:type="dxa" w:w="3000"/>
            <w:shd w:fill="FFFFFF" w:val="clear"/>
          </w:tcPr>
          <w:p>
            <w:r>
              <w:rPr>
                <w:sz w:val="18"/>
                <w:szCs w:val="18"/>
              </w:rPr>
              <w:t xml:space="preserve">Étape 11.3 fiscal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D. UI &amp; Comparaison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Graphique Multi-Trajectoires Recharts : courbe médiane + tunnel de probabilité ombragé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Compteur de l'Âge d'Indépendance : badge dynamique (scénario neutre vs crise)</w:t>
      </w:r>
    </w:p>
    <w:p>
      <w:pPr>
        <w:pBdr>
          <w:bottom w:val="single" w:color="6B7280" w:sz="6" w:space="1"/>
        </w:pBdr>
        <w:spacing w:after="200" w:before="200"/>
      </w:pPr>
    </w:p>
    <w:p>
      <w:pPr>
        <w:spacing w:after="100" w:before="200"/>
      </w:pPr>
      <w:r>
        <w:rPr>
          <w:b/>
          <w:bCs/>
          <w:color w:val="7C3AED"/>
          <w:sz w:val="22"/>
          <w:szCs w:val="22"/>
        </w:rPr>
        <w:t xml:space="preserve">✅ AJOUT — Étape 16.BIS — Tests Unitaires des Calculs Financiers (Nouveau)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Étape 16.BIS — Tests Unitaires Calculs Critiques</w:t>
      </w:r>
    </w:p>
    <w:p>
      <w:pPr>
        <w:spacing w:after="120"/>
      </w:pPr>
      <w:r>
        <w:rPr>
          <w:sz w:val="20"/>
          <w:szCs w:val="20"/>
        </w:rPr>
        <w:t xml:space="preserve">Pour une application fintech, les bugs silencieux sur les calculs financiers peuvent entraîner de mauvaises décisions d'investissement. Ces tests sont non-négociables.</w:t>
      </w:r>
    </w:p>
    <w:p>
      <w:pPr>
        <w:pStyle w:val="Heading3"/>
        <w:spacing w:after="100" w:before="200"/>
      </w:pPr>
      <w:r>
        <w:rPr>
          <w:b/>
          <w:bCs/>
          <w:color w:val="1E3A5F"/>
          <w:sz w:val="22"/>
          <w:szCs w:val="22"/>
        </w:rPr>
        <w:t xml:space="preserve">Fonctions à tester en priorité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getCapitalRestantDu() — tester avec différentes dates, taux zéro, crédit remboursé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analyserFiscaliteGlobale() — tous les cas (PEA avant/après 5 ans, AV avant/après 8 ans, abattement couple)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simulerTrajectoirePatrimoine() — vérifier les scénarios de crise et la correction inflation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analyserFraisGlobaux() — vérifier l'impact long terme avec des valeurs connues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calculerCashFlowNet() — tous les régimes fiscaux immobiliers</w:t>
      </w:r>
    </w:p>
    <w:p>
      <w:pPr>
        <w:pStyle w:val="Heading3"/>
        <w:spacing w:after="100" w:before="200"/>
      </w:pPr>
      <w:r>
        <w:rPr>
          <w:b/>
          <w:bCs/>
          <w:color w:val="1E3A5F"/>
          <w:sz w:val="22"/>
          <w:szCs w:val="22"/>
        </w:rPr>
        <w:t xml:space="preserve">Stack de tests recommandée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Vitest (intégré à Vite, zéro configuration supplémentaire)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Tests placés dans src/__tests__/ ou co-localisés avec les utils (utils/financeImmo.test.js)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Pas de tests d'intégration Supabase à ce stade — uniquement les fonctions JS pures</w:t>
      </w:r>
    </w:p>
    <w:p>
      <w:pPr>
        <w:pStyle w:val="Heading3"/>
        <w:spacing w:after="100" w:before="200"/>
      </w:pPr>
      <w:r>
        <w:rPr>
          <w:b/>
          <w:bCs/>
          <w:color w:val="1E3A5F"/>
          <w:sz w:val="22"/>
          <w:szCs w:val="22"/>
        </w:rPr>
        <w:t xml:space="preserve">Exemple de cas limite à couvrir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Crédit dont la date_debut est dans le futur → CRD = capital_emprunte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Assurance-Vie avec 0 versements → pas de division par zéro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Taux d'inflation à 0% dans la simulation → pas de NaN</w:t>
      </w:r>
    </w:p>
    <w:p>
      <w:pPr>
        <w:pBdr>
          <w:bottom w:val="single" w:color="6B7280" w:sz="6" w:space="1"/>
        </w:pBdr>
        <w:spacing w:after="200" w:before="200"/>
      </w:pPr>
    </w:p>
    <w:p>
      <w:pPr>
        <w:spacing w:after="100" w:before="200"/>
      </w:pPr>
      <w:r>
        <w:rPr>
          <w:b/>
          <w:bCs/>
          <w:color w:val="059669"/>
          <w:sz w:val="22"/>
          <w:szCs w:val="22"/>
        </w:rPr>
        <w:t xml:space="preserve">🆕 Étape 17 — Export</w:t>
      </w:r>
    </w:p>
    <w:p>
      <w:pPr>
        <w:pStyle w:val="Heading1"/>
        <w:spacing w:after="200" w:before="400"/>
      </w:pPr>
      <w:r>
        <w:rPr>
          <w:b/>
          <w:bCs/>
          <w:color w:val="1E3A5F"/>
          <w:sz w:val="32"/>
          <w:szCs w:val="32"/>
        </w:rPr>
        <w:t xml:space="preserve">Étape 17 — Export Excel &amp; PDF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SheetJS pour générer un fichier .xlsx propre (couleurs, bordures, tableaux)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Feuille 1 : toutes les transactions filtrables par période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Feuille 2 : rapport budget du mois (catégories + montants + % budget utilisé)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Feuille 3 : snapshot patrimoine (comptes + positions + immo + AV)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Export PDF via html2pdf.js ou react-pdf pour les graphiques</w:t>
      </w:r>
    </w:p>
    <w:p>
      <w:pPr>
        <w:spacing w:after="100" w:before="200"/>
      </w:pPr>
      <w:r>
        <w:rPr>
          <w:b/>
          <w:bCs/>
          <w:color w:val="7C3AED"/>
          <w:sz w:val="22"/>
          <w:szCs w:val="22"/>
        </w:rPr>
        <w:t xml:space="preserve">✅ AJOUT — Ajout — Export RGPD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Page /export-donnees : ZIP de toutes les données utilisateur en JSON/CSV (obligation RGPD — lié à l'étape 13.BIS)</w:t>
      </w:r>
    </w:p>
    <w:p>
      <w:pPr>
        <w:pBdr>
          <w:bottom w:val="single" w:color="6B7280" w:sz="6" w:space="1"/>
        </w:pBdr>
        <w:spacing w:after="200" w:before="200"/>
      </w:pPr>
    </w:p>
    <w:p>
      <w:pPr>
        <w:spacing w:after="100" w:before="200"/>
      </w:pPr>
      <w:r>
        <w:rPr>
          <w:b/>
          <w:bCs/>
          <w:color w:val="059669"/>
          <w:sz w:val="22"/>
          <w:szCs w:val="22"/>
        </w:rPr>
        <w:t xml:space="preserve">🆕 Étape 18 — Polish Final</w:t>
      </w:r>
    </w:p>
    <w:p>
      <w:pPr>
        <w:pStyle w:val="Heading1"/>
        <w:spacing w:after="200" w:before="400"/>
      </w:pPr>
      <w:r>
        <w:rPr>
          <w:b/>
          <w:bCs/>
          <w:color w:val="1E3A5F"/>
          <w:sz w:val="32"/>
          <w:szCs w:val="32"/>
        </w:rPr>
        <w:t xml:space="preserve">Étape 18 — Polish Final &amp; Déploiement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Responsive &amp; Mobile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Sidebar collapsible → bottom navigation bar sur mobile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Tester tous les formulaires et graphiques sur viewport 375px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Performance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Variables Vercel : VITE_SUPABASE_URL et VITE_SUPABASE_ANON_KEY dans Settings → Environment Variables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Cache Finnhub via table asset_prices_cache (jamais d'appel direct depuis le front)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Animations/transitions douces sur les graphiques Recharts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États de chargement (skeletons) et messages d'erreur soignés sur toutes les pages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Sécurité finale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Row Level Security (RLS) : vérification étanche de auth.uid() = user_id sur toutes les tables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Headers CSP dans vercel.json (Content-Security-Policy, X-Frame-Options, X-Content-Type-Options)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Désactiver le stockage des sessions dans LocalStorage → cookies HttpOnly/Secure/SameSite=Strict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Tests finaux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Tests multi-utilisateurs : vérifier l'isolation des données entre comptes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Relancer tous les tests unitaires Vitest (étape 16.BIS) sur la version de production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sz w:val="20"/>
          <w:szCs w:val="20"/>
        </w:rPr>
        <w:t xml:space="preserve">Test de charge : simuler 10 utilisateurs simultanés sur le cron snapshot</w:t>
      </w:r>
    </w:p>
    <w:p>
      <w:pPr>
        <w:pBdr>
          <w:bottom w:val="single" w:color="6B7280" w:sz="6" w:space="1"/>
        </w:pBdr>
        <w:spacing w:after="200" w:before="200"/>
      </w:pPr>
    </w:p>
    <w:p>
      <w:pPr>
        <w:pStyle w:val="Heading1"/>
        <w:spacing w:after="200" w:before="400"/>
      </w:pPr>
      <w:r>
        <w:rPr>
          <w:b/>
          <w:bCs/>
          <w:color w:val="1E3A5F"/>
          <w:sz w:val="32"/>
          <w:szCs w:val="32"/>
        </w:rPr>
        <w:t xml:space="preserve">Récapitulatif des Ajouts</w:t>
      </w:r>
    </w:p>
    <w:p>
      <w:pPr>
        <w:spacing w:after="120"/>
      </w:pPr>
      <w:r>
        <w:rPr>
          <w:sz w:val="20"/>
          <w:szCs w:val="20"/>
        </w:rPr>
        <w:t xml:space="preserve">Synthèse des nouvelles étapes intégrées au plan :</w:t>
      </w:r>
    </w:p>
    <w:p>
      <w:pPr>
        <w:spacing w:after="120"/>
      </w:pPr>
      <w:r>
        <w:rPr>
          <w:sz w:val="20"/>
          <w:szCs w:val="20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type="dxa" w:w="2250"/>
            <w:shd w:fill="1E3A5F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Étape</w:t>
            </w:r>
          </w:p>
        </w:tc>
        <w:tc>
          <w:tcPr>
            <w:tcW w:type="dxa" w:w="2250"/>
            <w:shd w:fill="1E3A5F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Titre</w:t>
            </w:r>
          </w:p>
        </w:tc>
        <w:tc>
          <w:tcPr>
            <w:tcW w:type="dxa" w:w="2250"/>
            <w:shd w:fill="1E3A5F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Priorité</w:t>
            </w:r>
          </w:p>
        </w:tc>
        <w:tc>
          <w:tcPr>
            <w:tcW w:type="dxa" w:w="2250"/>
            <w:shd w:fill="1E3A5F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Pourquoi</w:t>
            </w:r>
          </w:p>
        </w:tc>
      </w:tr>
      <w:tr>
        <w:tc>
          <w:tcPr>
            <w:tcW w:type="dxa" w:w="2250"/>
            <w:shd w:fill="FFFFFF" w:val="clear"/>
          </w:tcPr>
          <w:p>
            <w:r>
              <w:rPr>
                <w:sz w:val="18"/>
                <w:szCs w:val="18"/>
              </w:rPr>
              <w:t xml:space="preserve">2.BIS</w:t>
            </w:r>
          </w:p>
        </w:tc>
        <w:tc>
          <w:tcPr>
            <w:tcW w:type="dxa" w:w="2250"/>
            <w:shd w:fill="FFFFFF" w:val="clear"/>
          </w:tcPr>
          <w:p>
            <w:r>
              <w:rPr>
                <w:sz w:val="18"/>
                <w:szCs w:val="18"/>
              </w:rPr>
              <w:t xml:space="preserve">Onboarding Wizard</w:t>
            </w:r>
          </w:p>
        </w:tc>
        <w:tc>
          <w:tcPr>
            <w:tcW w:type="dxa" w:w="2250"/>
            <w:shd w:fill="FFFFFF" w:val="clear"/>
          </w:tcPr>
          <w:p>
            <w:r>
              <w:rPr>
                <w:sz w:val="18"/>
                <w:szCs w:val="18"/>
              </w:rPr>
              <w:t xml:space="preserve">🔴 Haute</w:t>
            </w:r>
          </w:p>
        </w:tc>
        <w:tc>
          <w:tcPr>
            <w:tcW w:type="dxa" w:w="2250"/>
            <w:shd w:fill="FFFFFF" w:val="clear"/>
          </w:tcPr>
          <w:p>
            <w:r>
              <w:rPr>
                <w:sz w:val="18"/>
                <w:szCs w:val="18"/>
              </w:rPr>
              <w:t xml:space="preserve">Impact direct sur la rétention utilisateur</w:t>
            </w:r>
          </w:p>
        </w:tc>
      </w:tr>
      <w:tr>
        <w:tc>
          <w:tcPr>
            <w:tcW w:type="dxa" w:w="2250"/>
            <w:shd w:fill="F3F4F6" w:val="clear"/>
          </w:tcPr>
          <w:p>
            <w:r>
              <w:rPr>
                <w:sz w:val="18"/>
                <w:szCs w:val="18"/>
              </w:rPr>
              <w:t xml:space="preserve">11.BIS</w:t>
            </w:r>
          </w:p>
        </w:tc>
        <w:tc>
          <w:tcPr>
            <w:tcW w:type="dxa" w:w="2250"/>
            <w:shd w:fill="F3F4F6" w:val="clear"/>
          </w:tcPr>
          <w:p>
            <w:r>
              <w:rPr>
                <w:sz w:val="18"/>
                <w:szCs w:val="18"/>
              </w:rPr>
              <w:t xml:space="preserve">Notifications &amp; Alertes Email</w:t>
            </w:r>
          </w:p>
        </w:tc>
        <w:tc>
          <w:tcPr>
            <w:tcW w:type="dxa" w:w="2250"/>
            <w:shd w:fill="F3F4F6" w:val="clear"/>
          </w:tcPr>
          <w:p>
            <w:r>
              <w:rPr>
                <w:sz w:val="18"/>
                <w:szCs w:val="18"/>
              </w:rPr>
              <w:t xml:space="preserve">🟡 Moyenne</w:t>
            </w:r>
          </w:p>
        </w:tc>
        <w:tc>
          <w:tcPr>
            <w:tcW w:type="dxa" w:w="2250"/>
            <w:shd w:fill="F3F4F6" w:val="clear"/>
          </w:tcPr>
          <w:p>
            <w:r>
              <w:rPr>
                <w:sz w:val="18"/>
                <w:szCs w:val="18"/>
              </w:rPr>
              <w:t xml:space="preserve">Valeur ajoutée et engagement utilisateur</w:t>
            </w:r>
          </w:p>
        </w:tc>
      </w:tr>
      <w:tr>
        <w:tc>
          <w:tcPr>
            <w:tcW w:type="dxa" w:w="2250"/>
            <w:shd w:fill="FFFFFF" w:val="clear"/>
          </w:tcPr>
          <w:p>
            <w:r>
              <w:rPr>
                <w:sz w:val="18"/>
                <w:szCs w:val="18"/>
              </w:rPr>
              <w:t xml:space="preserve">13.BIS</w:t>
            </w:r>
          </w:p>
        </w:tc>
        <w:tc>
          <w:tcPr>
            <w:tcW w:type="dxa" w:w="2250"/>
            <w:shd w:fill="FFFFFF" w:val="clear"/>
          </w:tcPr>
          <w:p>
            <w:r>
              <w:rPr>
                <w:sz w:val="18"/>
                <w:szCs w:val="18"/>
              </w:rPr>
              <w:t xml:space="preserve">Conformité RGPD</w:t>
            </w:r>
          </w:p>
        </w:tc>
        <w:tc>
          <w:tcPr>
            <w:tcW w:type="dxa" w:w="2250"/>
            <w:shd w:fill="FFFFFF" w:val="clear"/>
          </w:tcPr>
          <w:p>
            <w:r>
              <w:rPr>
                <w:sz w:val="18"/>
                <w:szCs w:val="18"/>
              </w:rPr>
              <w:t xml:space="preserve">🔴 Haute</w:t>
            </w:r>
          </w:p>
        </w:tc>
        <w:tc>
          <w:tcPr>
            <w:tcW w:type="dxa" w:w="2250"/>
            <w:shd w:fill="FFFFFF" w:val="clear"/>
          </w:tcPr>
          <w:p>
            <w:r>
              <w:rPr>
                <w:sz w:val="18"/>
                <w:szCs w:val="18"/>
              </w:rPr>
              <w:t xml:space="preserve">Obligation légale pour l'UE — non-négociable</w:t>
            </w:r>
          </w:p>
        </w:tc>
      </w:tr>
      <w:tr>
        <w:tc>
          <w:tcPr>
            <w:tcW w:type="dxa" w:w="2250"/>
            <w:shd w:fill="F3F4F6" w:val="clear"/>
          </w:tcPr>
          <w:p>
            <w:r>
              <w:rPr>
                <w:sz w:val="18"/>
                <w:szCs w:val="18"/>
              </w:rPr>
              <w:t xml:space="preserve">16.BIS</w:t>
            </w:r>
          </w:p>
        </w:tc>
        <w:tc>
          <w:tcPr>
            <w:tcW w:type="dxa" w:w="2250"/>
            <w:shd w:fill="F3F4F6" w:val="clear"/>
          </w:tcPr>
          <w:p>
            <w:r>
              <w:rPr>
                <w:sz w:val="18"/>
                <w:szCs w:val="18"/>
              </w:rPr>
              <w:t xml:space="preserve">Tests Unitaires Calculs</w:t>
            </w:r>
          </w:p>
        </w:tc>
        <w:tc>
          <w:tcPr>
            <w:tcW w:type="dxa" w:w="2250"/>
            <w:shd w:fill="F3F4F6" w:val="clear"/>
          </w:tcPr>
          <w:p>
            <w:r>
              <w:rPr>
                <w:sz w:val="18"/>
                <w:szCs w:val="18"/>
              </w:rPr>
              <w:t xml:space="preserve">🔴 Haute</w:t>
            </w:r>
          </w:p>
        </w:tc>
        <w:tc>
          <w:tcPr>
            <w:tcW w:type="dxa" w:w="2250"/>
            <w:shd w:fill="F3F4F6" w:val="clear"/>
          </w:tcPr>
          <w:p>
            <w:r>
              <w:rPr>
                <w:sz w:val="18"/>
                <w:szCs w:val="18"/>
              </w:rPr>
              <w:t xml:space="preserve">Fiabilité des calculs financiers critiques</w:t>
            </w:r>
          </w:p>
        </w:tc>
      </w:tr>
    </w:tbl>
    <w:p>
      <w:pPr>
        <w:spacing w:before="300"/>
      </w:pPr>
    </w:p>
    <w:p>
      <w:pPr>
        <w:spacing w:after="120"/>
      </w:pPr>
      <w:r>
        <w:rPr>
          <w:i/>
          <w:iCs/>
          <w:color w:val="6B7280"/>
          <w:sz w:val="19"/>
          <w:szCs w:val="19"/>
        </w:rPr>
        <w:t xml:space="preserve">💡 Les 4 ajouts représentent environ 3 à 5 jours de développement supplémentaires pour une IA assistée. Ils sont tous prioritaires avant la mise en production publique.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2026-07-01T07:51:53.321Z</dcterms:created>
  <dcterms:modified xsi:type="dcterms:W3CDTF">2026-07-01T07:51:53.321Z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