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MEEEM Delivery App Privacy Policy</w:t>
      </w:r>
    </w:p>
    <w:p>
      <w:pPr>
        <w:jc w:val="center"/>
      </w:pPr>
      <w:r>
        <w:rPr>
          <w:b/>
          <w:color w:val="282828"/>
          <w:sz w:val="20"/>
        </w:rPr>
        <w:t>For employed riders and drivers</w:t>
      </w:r>
    </w:p>
    <w:p>
      <w:pPr>
        <w:jc w:val="center"/>
      </w:pPr>
      <w:r>
        <w:rPr>
          <w:sz w:val="18"/>
        </w:rPr>
        <w:t>Effective date  ____________________</w:t>
      </w:r>
    </w:p>
    <w:p>
      <w:r>
        <w:t>This Privacy Policy explains how MEEEM E-Commerce Limited (MEEEM, we, us or our) collects, uses, stores and shares personal information when an employed rider or driver uses the MEEEM Delivery App or performs delivery duties. It also explains the worker’s choices and responsibilities. The App may require location, identity and delivery information to operate safely and reliably.</w:t>
      </w:r>
    </w:p>
    <w:p>
      <w:pPr>
        <w:pStyle w:val="Heading1"/>
      </w:pPr>
      <w:r>
        <w:t>1 Scope and acceptance</w:t>
      </w:r>
    </w:p>
    <w:p>
      <w:r>
        <w:t>This Policy applies to applicants, employed riders and drivers, and former riders and drivers whose information remains in MEEEM records. It applies to information collected through the App, MEEEM devices and systems, onboarding, support, dispatch, deliveries, safety investigations and employment administration. It should be read with the employment agreement, workplace rules and any customer-facing privacy notice.</w:t>
      </w:r>
    </w:p>
    <w:p>
      <w:pPr>
        <w:pStyle w:val="Heading1"/>
      </w:pPr>
      <w:r>
        <w:t>2 Information we collect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520"/>
            <w:shd w:fill="123A70"/>
            <w:vAlign w:val="center"/>
            <w:tcMar>
              <w:top w:w="100" w:type="dxa"/>
              <w:start w:w="120" w:type="dxa"/>
              <w:bottom w:w="100" w:type="dxa"/>
              <w:end w:w="120" w:type="dxa"/>
            </w:tcMar>
          </w:tcPr>
          <w:p>
            <w:r>
              <w:rPr>
                <w:b/>
                <w:color w:val="FFFFFF"/>
                <w:sz w:val="18"/>
              </w:rPr>
              <w:t>Category</w:t>
            </w:r>
          </w:p>
        </w:tc>
        <w:tc>
          <w:tcPr>
            <w:tcW w:type="dxa" w:w="7272"/>
            <w:shd w:fill="123A70"/>
            <w:vAlign w:val="center"/>
            <w:tcMar>
              <w:top w:w="100" w:type="dxa"/>
              <w:start w:w="120" w:type="dxa"/>
              <w:bottom w:w="100" w:type="dxa"/>
              <w:end w:w="120" w:type="dxa"/>
            </w:tcMar>
          </w:tcPr>
          <w:p>
            <w:r>
              <w:rPr>
                <w:b/>
                <w:color w:val="FFFFFF"/>
                <w:sz w:val="18"/>
              </w:rPr>
              <w:t>Examples</w:t>
            </w:r>
          </w:p>
        </w:tc>
      </w:tr>
      <w:tr>
        <w:trPr>
          <w:cantSplit/>
        </w:trPr>
        <w:tc>
          <w:tcPr>
            <w:tcW w:type="dxa" w:w="2520"/>
            <w:tcMar>
              <w:top w:w="100" w:type="dxa"/>
              <w:start w:w="120" w:type="dxa"/>
              <w:bottom w:w="100" w:type="dxa"/>
              <w:end w:w="120" w:type="dxa"/>
            </w:tcMar>
            <w:vAlign w:val="center"/>
          </w:tcPr>
          <w:p>
            <w:r>
              <w:rPr>
                <w:sz w:val="16"/>
              </w:rPr>
              <w:t>Identity and contact</w:t>
            </w:r>
          </w:p>
        </w:tc>
        <w:tc>
          <w:tcPr>
            <w:tcW w:type="dxa" w:w="7272"/>
            <w:tcMar>
              <w:top w:w="100" w:type="dxa"/>
              <w:start w:w="120" w:type="dxa"/>
              <w:bottom w:w="100" w:type="dxa"/>
              <w:end w:w="120" w:type="dxa"/>
            </w:tcMar>
            <w:vAlign w:val="center"/>
          </w:tcPr>
          <w:p>
            <w:r>
              <w:rPr>
                <w:sz w:val="16"/>
              </w:rPr>
              <w:t>Name, photograph, date of birth, address, telephone number, email, emergency contact, national identity or passport information and employee number.</w:t>
            </w:r>
          </w:p>
        </w:tc>
      </w:tr>
      <w:tr>
        <w:trPr>
          <w:cantSplit/>
        </w:trPr>
        <w:tc>
          <w:tcPr>
            <w:tcW w:type="dxa" w:w="2520"/>
            <w:tcMar>
              <w:top w:w="100" w:type="dxa"/>
              <w:start w:w="120" w:type="dxa"/>
              <w:bottom w:w="100" w:type="dxa"/>
              <w:end w:w="120" w:type="dxa"/>
            </w:tcMar>
            <w:vAlign w:val="center"/>
            <w:shd w:fill="EAF1F8"/>
          </w:tcPr>
          <w:p>
            <w:r>
              <w:rPr>
                <w:sz w:val="16"/>
              </w:rPr>
              <w:t>Eligibility and checks</w:t>
            </w:r>
          </w:p>
        </w:tc>
        <w:tc>
          <w:tcPr>
            <w:tcW w:type="dxa" w:w="7272"/>
            <w:tcMar>
              <w:top w:w="100" w:type="dxa"/>
              <w:start w:w="120" w:type="dxa"/>
              <w:bottom w:w="100" w:type="dxa"/>
              <w:end w:w="120" w:type="dxa"/>
            </w:tcMar>
            <w:vAlign w:val="center"/>
            <w:shd w:fill="EAF1F8"/>
          </w:tcPr>
          <w:p>
            <w:r>
              <w:rPr>
                <w:sz w:val="16"/>
              </w:rPr>
              <w:t>Driver’s licence, vehicle licence and insurance, right-to-work information, references, training records and lawful background or safety checks.</w:t>
            </w:r>
          </w:p>
        </w:tc>
      </w:tr>
      <w:tr>
        <w:trPr>
          <w:cantSplit/>
        </w:trPr>
        <w:tc>
          <w:tcPr>
            <w:tcW w:type="dxa" w:w="2520"/>
            <w:tcMar>
              <w:top w:w="100" w:type="dxa"/>
              <w:start w:w="120" w:type="dxa"/>
              <w:bottom w:w="100" w:type="dxa"/>
              <w:end w:w="120" w:type="dxa"/>
            </w:tcMar>
            <w:vAlign w:val="center"/>
          </w:tcPr>
          <w:p>
            <w:r>
              <w:rPr>
                <w:sz w:val="16"/>
              </w:rPr>
              <w:t>Precise location and route</w:t>
            </w:r>
          </w:p>
        </w:tc>
        <w:tc>
          <w:tcPr>
            <w:tcW w:type="dxa" w:w="7272"/>
            <w:tcMar>
              <w:top w:w="100" w:type="dxa"/>
              <w:start w:w="120" w:type="dxa"/>
              <w:bottom w:w="100" w:type="dxa"/>
              <w:end w:w="120" w:type="dxa"/>
            </w:tcMar>
            <w:vAlign w:val="center"/>
          </w:tcPr>
          <w:p>
            <w:r>
              <w:rPr>
                <w:sz w:val="16"/>
              </w:rPr>
              <w:t>GPS position, route, pickup and drop-off points, timestamps, distance, speed or movement indicators, and proof of arrival. Location may be collected in the background while the worker is logged in, on duty or completing an active delivery.</w:t>
            </w:r>
          </w:p>
        </w:tc>
      </w:tr>
      <w:tr>
        <w:trPr>
          <w:cantSplit/>
        </w:trPr>
        <w:tc>
          <w:tcPr>
            <w:tcW w:type="dxa" w:w="2520"/>
            <w:tcMar>
              <w:top w:w="100" w:type="dxa"/>
              <w:start w:w="120" w:type="dxa"/>
              <w:bottom w:w="100" w:type="dxa"/>
              <w:end w:w="120" w:type="dxa"/>
            </w:tcMar>
            <w:vAlign w:val="center"/>
            <w:shd w:fill="EAF1F8"/>
          </w:tcPr>
          <w:p>
            <w:r>
              <w:rPr>
                <w:sz w:val="16"/>
              </w:rPr>
              <w:t>Delivery and customer interaction</w:t>
            </w:r>
          </w:p>
        </w:tc>
        <w:tc>
          <w:tcPr>
            <w:tcW w:type="dxa" w:w="7272"/>
            <w:tcMar>
              <w:top w:w="100" w:type="dxa"/>
              <w:start w:w="120" w:type="dxa"/>
              <w:bottom w:w="100" w:type="dxa"/>
              <w:end w:w="120" w:type="dxa"/>
            </w:tcMar>
            <w:vAlign w:val="center"/>
            <w:shd w:fill="EAF1F8"/>
          </w:tcPr>
          <w:p>
            <w:r>
              <w:rPr>
                <w:sz w:val="16"/>
              </w:rPr>
              <w:t>Order identifiers, collection and delivery status, proof of delivery, recipient name or signature, photographs where required, masked or recorded communications where enabled, complaints and support records.</w:t>
            </w:r>
          </w:p>
        </w:tc>
      </w:tr>
      <w:tr>
        <w:trPr>
          <w:cantSplit/>
        </w:trPr>
        <w:tc>
          <w:tcPr>
            <w:tcW w:type="dxa" w:w="2520"/>
            <w:tcMar>
              <w:top w:w="100" w:type="dxa"/>
              <w:start w:w="120" w:type="dxa"/>
              <w:bottom w:w="100" w:type="dxa"/>
              <w:end w:w="120" w:type="dxa"/>
            </w:tcMar>
            <w:vAlign w:val="center"/>
          </w:tcPr>
          <w:p>
            <w:r>
              <w:rPr>
                <w:sz w:val="16"/>
              </w:rPr>
              <w:t>Device and app</w:t>
            </w:r>
          </w:p>
        </w:tc>
        <w:tc>
          <w:tcPr>
            <w:tcW w:type="dxa" w:w="7272"/>
            <w:tcMar>
              <w:top w:w="100" w:type="dxa"/>
              <w:start w:w="120" w:type="dxa"/>
              <w:bottom w:w="100" w:type="dxa"/>
              <w:end w:w="120" w:type="dxa"/>
            </w:tcMar>
            <w:vAlign w:val="center"/>
          </w:tcPr>
          <w:p>
            <w:r>
              <w:rPr>
                <w:sz w:val="16"/>
              </w:rPr>
              <w:t>Device model, operating system, app version, IP address, device identifiers, login records, diagnostics, crash logs and security events.</w:t>
            </w:r>
          </w:p>
        </w:tc>
      </w:tr>
      <w:tr>
        <w:trPr>
          <w:cantSplit/>
        </w:trPr>
        <w:tc>
          <w:tcPr>
            <w:tcW w:type="dxa" w:w="2520"/>
            <w:tcMar>
              <w:top w:w="100" w:type="dxa"/>
              <w:start w:w="120" w:type="dxa"/>
              <w:bottom w:w="100" w:type="dxa"/>
              <w:end w:w="120" w:type="dxa"/>
            </w:tcMar>
            <w:vAlign w:val="center"/>
            <w:shd w:fill="EAF1F8"/>
          </w:tcPr>
          <w:p>
            <w:r>
              <w:rPr>
                <w:sz w:val="16"/>
              </w:rPr>
              <w:t>Employment and payment</w:t>
            </w:r>
          </w:p>
        </w:tc>
        <w:tc>
          <w:tcPr>
            <w:tcW w:type="dxa" w:w="7272"/>
            <w:tcMar>
              <w:top w:w="100" w:type="dxa"/>
              <w:start w:w="120" w:type="dxa"/>
              <w:bottom w:w="100" w:type="dxa"/>
              <w:end w:w="120" w:type="dxa"/>
            </w:tcMar>
            <w:vAlign w:val="center"/>
            <w:shd w:fill="EAF1F8"/>
          </w:tcPr>
          <w:p>
            <w:r>
              <w:rPr>
                <w:sz w:val="16"/>
              </w:rPr>
              <w:t>Contract details, attendance, schedules, performance, earnings, reimbursements, deductions lawfully authorised, bank or mobile-money details and tax or statutory contribution information.</w:t>
            </w:r>
          </w:p>
        </w:tc>
      </w:tr>
      <w:tr>
        <w:trPr>
          <w:cantSplit/>
        </w:trPr>
        <w:tc>
          <w:tcPr>
            <w:tcW w:type="dxa" w:w="2520"/>
            <w:tcMar>
              <w:top w:w="100" w:type="dxa"/>
              <w:start w:w="120" w:type="dxa"/>
              <w:bottom w:w="100" w:type="dxa"/>
              <w:end w:w="120" w:type="dxa"/>
            </w:tcMar>
            <w:vAlign w:val="center"/>
          </w:tcPr>
          <w:p>
            <w:r>
              <w:rPr>
                <w:sz w:val="16"/>
              </w:rPr>
              <w:t>Safety and incident</w:t>
            </w:r>
          </w:p>
        </w:tc>
        <w:tc>
          <w:tcPr>
            <w:tcW w:type="dxa" w:w="7272"/>
            <w:tcMar>
              <w:top w:w="100" w:type="dxa"/>
              <w:start w:w="120" w:type="dxa"/>
              <w:bottom w:w="100" w:type="dxa"/>
              <w:end w:w="120" w:type="dxa"/>
            </w:tcMar>
            <w:vAlign w:val="center"/>
          </w:tcPr>
          <w:p>
            <w:r>
              <w:rPr>
                <w:sz w:val="16"/>
              </w:rPr>
              <w:t>Accident reports, vehicle inspections, damage or loss reports, witness statements, photographs and investigation outcomes.</w:t>
            </w:r>
          </w:p>
        </w:tc>
      </w:tr>
    </w:tbl>
    <w:p>
      <w:pPr>
        <w:pStyle w:val="Heading1"/>
      </w:pPr>
      <w:r>
        <w:t>3 How we collect information</w:t>
      </w:r>
    </w:p>
    <w:p>
      <w:pPr>
        <w:pStyle w:val="ListBullet"/>
        <w:spacing w:after="40"/>
      </w:pPr>
      <w:r>
        <w:t>Directly from the worker during application, onboarding, use of the App and communication with MEEEM.</w:t>
      </w:r>
    </w:p>
    <w:p>
      <w:pPr>
        <w:pStyle w:val="ListBullet"/>
        <w:spacing w:after="40"/>
      </w:pPr>
      <w:r>
        <w:t>Automatically from the App, assigned devices, vehicle systems or security tools when enabled.</w:t>
      </w:r>
    </w:p>
    <w:p>
      <w:pPr>
        <w:pStyle w:val="ListBullet"/>
        <w:spacing w:after="40"/>
      </w:pPr>
      <w:r>
        <w:t>From customers, merchants, dispatchers, insurers, public authorities, reference providers and service providers where lawful and relevant.</w:t>
      </w:r>
    </w:p>
    <w:p>
      <w:pPr>
        <w:pStyle w:val="Heading1"/>
      </w:pPr>
      <w:r>
        <w:t>4 Why we use information</w:t>
      </w:r>
    </w:p>
    <w:p>
      <w:pPr>
        <w:pStyle w:val="ListBullet"/>
        <w:spacing w:after="40"/>
      </w:pPr>
      <w:r>
        <w:t>To verify identity, eligibility, licences, training and fitness for assigned duties.</w:t>
      </w:r>
    </w:p>
    <w:p>
      <w:pPr>
        <w:pStyle w:val="ListBullet"/>
        <w:spacing w:after="40"/>
      </w:pPr>
      <w:r>
        <w:t>To assign, route, monitor and confirm deliveries; calculate distance, time, pay and reimbursements; and provide real-time delivery updates.</w:t>
      </w:r>
    </w:p>
    <w:p>
      <w:pPr>
        <w:pStyle w:val="ListBullet"/>
        <w:spacing w:after="40"/>
      </w:pPr>
      <w:r>
        <w:t>To protect customers, workers, goods, funds, vehicles and MEEEM systems; prevent fraud; investigate accidents, losses, complaints and suspected misconduct.</w:t>
      </w:r>
    </w:p>
    <w:p>
      <w:pPr>
        <w:pStyle w:val="ListBullet"/>
        <w:spacing w:after="40"/>
      </w:pPr>
      <w:r>
        <w:t>To manage employment, attendance, performance, payroll, benefits, training, discipline, grievances and termination.</w:t>
      </w:r>
    </w:p>
    <w:p>
      <w:pPr>
        <w:pStyle w:val="ListBullet"/>
        <w:spacing w:after="40"/>
      </w:pPr>
      <w:r>
        <w:t>To communicate operational, safety, support and emergency information.</w:t>
      </w:r>
    </w:p>
    <w:p>
      <w:pPr>
        <w:pStyle w:val="ListBullet"/>
        <w:spacing w:after="40"/>
      </w:pPr>
      <w:r>
        <w:t>To comply with employment, tax, social-security, court, law-enforcement, cybersecurity and other legal obligations, and to establish or defend legal claims.</w:t>
      </w:r>
    </w:p>
    <w:p>
      <w:pPr>
        <w:pStyle w:val="ListBullet"/>
        <w:spacing w:after="40"/>
      </w:pPr>
      <w:r>
        <w:t>To analyse and improve delivery performance, service reliability, capacity planning and App security using the minimum information reasonably needed.</w:t>
      </w:r>
    </w:p>
    <w:p>
      <w:pPr>
        <w:pStyle w:val="Heading1"/>
      </w:pPr>
      <w:r>
        <w:t>5 Location monitoring and automated tools</w:t>
      </w:r>
    </w:p>
    <w:p>
      <w:r>
        <w:t>Precise location is essential during duty periods and active deliveries. MEEEM will not intentionally track a worker through the App while the worker is logged out and off duty, unless a company device, vehicle or item is reported lost or stolen and tracking is reasonably necessary and lawful. The worker must follow device settings and must not disable, falsify or manipulate required location data.</w:t>
      </w:r>
    </w:p>
    <w:p>
      <w:r>
        <w:t>MEEEM may use rules or analytics to flag unusual routes, delays, safety events or suspected fraud. A significant employment decision should not be based solely on an automated flag without appropriate human review and an opportunity for the worker to explain relevant circumstances.</w:t>
      </w:r>
    </w:p>
    <w:p>
      <w:pPr>
        <w:pStyle w:val="Heading1"/>
      </w:pPr>
      <w:r>
        <w:t>6 Sharing of information</w:t>
      </w:r>
    </w:p>
    <w:p>
      <w:r>
        <w:t>MEEEM may share only the information reasonably necessary with customers and merchants (for example, first name, photograph, vehicle details, live arrival information and delivery status); affiliated MEEEM operations; payment, mapping, communications, cloud, identity-verification, insurance and professional-service providers; and regulators, courts, police or other authorities where required or lawfully requested. Information may also be shared in a corporate restructuring or sale subject to appropriate confidentiality safeguards. MEEEM does not sell workers’ personal information.</w:t>
      </w:r>
    </w:p>
    <w:p>
      <w:pPr>
        <w:pStyle w:val="Heading1"/>
      </w:pPr>
      <w:r>
        <w:t>7 International storage and service providers</w:t>
      </w:r>
    </w:p>
    <w:p>
      <w:r>
        <w:t>Some technology providers or servers may be located outside Sierra Leone. Where information is transferred internationally, MEEEM will use reasonable contractual, technical and organisational safeguards and limit access to the purposes described in this Policy.</w:t>
      </w:r>
    </w:p>
    <w:p>
      <w:pPr>
        <w:pStyle w:val="Heading1"/>
      </w:pPr>
      <w:r>
        <w:t>8 Retention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024"/>
            <w:shd w:fill="123A70"/>
            <w:vAlign w:val="center"/>
            <w:tcMar>
              <w:top w:w="100" w:type="dxa"/>
              <w:start w:w="120" w:type="dxa"/>
              <w:bottom w:w="100" w:type="dxa"/>
              <w:end w:w="120" w:type="dxa"/>
            </w:tcMar>
          </w:tcPr>
          <w:p>
            <w:r>
              <w:rPr>
                <w:b/>
                <w:color w:val="FFFFFF"/>
                <w:sz w:val="18"/>
              </w:rPr>
              <w:t>Record</w:t>
            </w:r>
          </w:p>
        </w:tc>
        <w:tc>
          <w:tcPr>
            <w:tcW w:type="dxa" w:w="6768"/>
            <w:shd w:fill="123A70"/>
            <w:vAlign w:val="center"/>
            <w:tcMar>
              <w:top w:w="100" w:type="dxa"/>
              <w:start w:w="120" w:type="dxa"/>
              <w:bottom w:w="100" w:type="dxa"/>
              <w:end w:w="120" w:type="dxa"/>
            </w:tcMar>
          </w:tcPr>
          <w:p>
            <w:r>
              <w:rPr>
                <w:b/>
                <w:color w:val="FFFFFF"/>
                <w:sz w:val="18"/>
              </w:rPr>
              <w:t>Normal approach</w:t>
            </w:r>
          </w:p>
        </w:tc>
      </w:tr>
      <w:tr>
        <w:trPr>
          <w:cantSplit/>
        </w:trPr>
        <w:tc>
          <w:tcPr>
            <w:tcW w:type="dxa" w:w="3024"/>
            <w:tcMar>
              <w:top w:w="100" w:type="dxa"/>
              <w:start w:w="120" w:type="dxa"/>
              <w:bottom w:w="100" w:type="dxa"/>
              <w:end w:w="120" w:type="dxa"/>
            </w:tcMar>
            <w:vAlign w:val="center"/>
          </w:tcPr>
          <w:p>
            <w:r>
              <w:rPr>
                <w:sz w:val="16"/>
              </w:rPr>
              <w:t>Active employment and payroll</w:t>
            </w:r>
          </w:p>
        </w:tc>
        <w:tc>
          <w:tcPr>
            <w:tcW w:type="dxa" w:w="6768"/>
            <w:tcMar>
              <w:top w:w="100" w:type="dxa"/>
              <w:start w:w="120" w:type="dxa"/>
              <w:bottom w:w="100" w:type="dxa"/>
              <w:end w:w="120" w:type="dxa"/>
            </w:tcMar>
            <w:vAlign w:val="center"/>
          </w:tcPr>
          <w:p>
            <w:r>
              <w:rPr>
                <w:sz w:val="16"/>
              </w:rPr>
              <w:t>Kept during employment and afterwards for the period required by law, audit, tax, benefit, dispute or claim needs.</w:t>
            </w:r>
          </w:p>
        </w:tc>
      </w:tr>
      <w:tr>
        <w:trPr>
          <w:cantSplit/>
        </w:trPr>
        <w:tc>
          <w:tcPr>
            <w:tcW w:type="dxa" w:w="3024"/>
            <w:tcMar>
              <w:top w:w="100" w:type="dxa"/>
              <w:start w:w="120" w:type="dxa"/>
              <w:bottom w:w="100" w:type="dxa"/>
              <w:end w:w="120" w:type="dxa"/>
            </w:tcMar>
            <w:vAlign w:val="center"/>
            <w:shd w:fill="EAF1F8"/>
          </w:tcPr>
          <w:p>
            <w:r>
              <w:rPr>
                <w:sz w:val="16"/>
              </w:rPr>
              <w:t>Delivery and location</w:t>
            </w:r>
          </w:p>
        </w:tc>
        <w:tc>
          <w:tcPr>
            <w:tcW w:type="dxa" w:w="6768"/>
            <w:tcMar>
              <w:top w:w="100" w:type="dxa"/>
              <w:start w:w="120" w:type="dxa"/>
              <w:bottom w:w="100" w:type="dxa"/>
              <w:end w:w="120" w:type="dxa"/>
            </w:tcMar>
            <w:vAlign w:val="center"/>
            <w:shd w:fill="EAF1F8"/>
          </w:tcPr>
          <w:p>
            <w:r>
              <w:rPr>
                <w:sz w:val="16"/>
              </w:rPr>
              <w:t>Kept only as long as reasonably needed for service records, customer complaints, fraud prevention, safety, audit and legal claims, then deleted or de-identified.</w:t>
            </w:r>
          </w:p>
        </w:tc>
      </w:tr>
      <w:tr>
        <w:trPr>
          <w:cantSplit/>
        </w:trPr>
        <w:tc>
          <w:tcPr>
            <w:tcW w:type="dxa" w:w="3024"/>
            <w:tcMar>
              <w:top w:w="100" w:type="dxa"/>
              <w:start w:w="120" w:type="dxa"/>
              <w:bottom w:w="100" w:type="dxa"/>
              <w:end w:w="120" w:type="dxa"/>
            </w:tcMar>
            <w:vAlign w:val="center"/>
          </w:tcPr>
          <w:p>
            <w:r>
              <w:rPr>
                <w:sz w:val="16"/>
              </w:rPr>
              <w:t>Identity and eligibility</w:t>
            </w:r>
          </w:p>
        </w:tc>
        <w:tc>
          <w:tcPr>
            <w:tcW w:type="dxa" w:w="6768"/>
            <w:tcMar>
              <w:top w:w="100" w:type="dxa"/>
              <w:start w:w="120" w:type="dxa"/>
              <w:bottom w:w="100" w:type="dxa"/>
              <w:end w:w="120" w:type="dxa"/>
            </w:tcMar>
            <w:vAlign w:val="center"/>
          </w:tcPr>
          <w:p>
            <w:r>
              <w:rPr>
                <w:sz w:val="16"/>
              </w:rPr>
              <w:t>Reviewed and retained while required to establish identity, eligibility and compliance.</w:t>
            </w:r>
          </w:p>
        </w:tc>
      </w:tr>
      <w:tr>
        <w:trPr>
          <w:cantSplit/>
        </w:trPr>
        <w:tc>
          <w:tcPr>
            <w:tcW w:type="dxa" w:w="3024"/>
            <w:tcMar>
              <w:top w:w="100" w:type="dxa"/>
              <w:start w:w="120" w:type="dxa"/>
              <w:bottom w:w="100" w:type="dxa"/>
              <w:end w:w="120" w:type="dxa"/>
            </w:tcMar>
            <w:vAlign w:val="center"/>
            <w:shd w:fill="EAF1F8"/>
          </w:tcPr>
          <w:p>
            <w:r>
              <w:rPr>
                <w:sz w:val="16"/>
              </w:rPr>
              <w:t>Incident and investigation</w:t>
            </w:r>
          </w:p>
        </w:tc>
        <w:tc>
          <w:tcPr>
            <w:tcW w:type="dxa" w:w="6768"/>
            <w:tcMar>
              <w:top w:w="100" w:type="dxa"/>
              <w:start w:w="120" w:type="dxa"/>
              <w:bottom w:w="100" w:type="dxa"/>
              <w:end w:w="120" w:type="dxa"/>
            </w:tcMar>
            <w:vAlign w:val="center"/>
            <w:shd w:fill="EAF1F8"/>
          </w:tcPr>
          <w:p>
            <w:r>
              <w:rPr>
                <w:sz w:val="16"/>
              </w:rPr>
              <w:t>Kept until the matter and any related claim, appeal or statutory period are closed.</w:t>
            </w:r>
          </w:p>
        </w:tc>
      </w:tr>
    </w:tbl>
    <w:p>
      <w:pPr>
        <w:pStyle w:val="Heading1"/>
      </w:pPr>
      <w:r>
        <w:t>9 Security</w:t>
      </w:r>
    </w:p>
    <w:p>
      <w:r>
        <w:t>MEEEM uses reasonable access controls, authentication, encryption where appropriate, logging, backups, staff confidentiality duties and vendor safeguards. No system is completely secure. A worker must immediately report a lost device, compromised account, suspicious message or unauthorised disclosure, and must not share passwords, customer information or delivery records.</w:t>
      </w:r>
    </w:p>
    <w:p>
      <w:pPr>
        <w:pStyle w:val="Heading1"/>
      </w:pPr>
      <w:r>
        <w:t>10 Worker rights and choices</w:t>
      </w:r>
    </w:p>
    <w:p>
      <w:r>
        <w:t>Subject to applicable law and legitimate operational or legal restrictions, a worker may ask to access or correct personal information, raise a concern about its use, request deletion of information no longer required, or ask for review of a significant automated decision. A request may be made through the App support channel, the worker’s supervisor or the official contact channel published at www.meeemsl.com. Identity verification may be required. MEEEM will not retaliate against a good-faith privacy concern.</w:t>
      </w:r>
    </w:p>
    <w:p>
      <w:pPr>
        <w:pStyle w:val="Heading1"/>
      </w:pPr>
      <w:r>
        <w:t>11 Customer information handled by workers</w:t>
      </w:r>
    </w:p>
    <w:p>
      <w:r>
        <w:t>Customer and merchant information shown in the App is confidential and may be used only to complete the assigned delivery. A worker must not copy, photograph, retain, publish, contact for personal reasons, or disclose that information except as authorised by MEEEM or required by law.</w:t>
      </w:r>
    </w:p>
    <w:p>
      <w:pPr>
        <w:pStyle w:val="Heading1"/>
      </w:pPr>
      <w:r>
        <w:t>12 Children</w:t>
      </w:r>
    </w:p>
    <w:p>
      <w:r>
        <w:t>The Delivery App is for authorised adult workers. MEEEM does not knowingly employ or create Delivery App accounts for persons below the lawful working or driving age.</w:t>
      </w:r>
    </w:p>
    <w:p>
      <w:pPr>
        <w:pStyle w:val="Heading1"/>
      </w:pPr>
      <w:r>
        <w:t>13 Changes and contact</w:t>
      </w:r>
    </w:p>
    <w:p>
      <w:r>
        <w:t>MEEEM may update this Policy to reflect changes in the App, operations or law. Material changes will be communicated through the App, workplace notice or another appropriate channel before or when they take effect. Questions or complaints may be submitted through the App support channel, a supervisor, or the official contact details published at www.meeemsl.com.</w:t>
      </w:r>
    </w:p>
    <w:p>
      <w:pPr>
        <w:pStyle w:val="Heading1"/>
      </w:pPr>
      <w:r>
        <w:t>14 Governing standards</w:t>
      </w:r>
    </w:p>
    <w:p>
      <w:r>
        <w:t>This Policy is governed by applicable laws of Sierra Leone, including employment, communications, cybersecurity and privacy-related requirements. If a mandatory law gives a worker greater protection than this Policy, that law prevails.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Delivery App Privacy Policy  |  MEEEM E-Commerce Limited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MEEEM Delivery App Rider Driver Privacy Policy</dc:title>
  <dc:subject>MEEEM Delivery App rider and driver governance</dc:subject>
  <dc:creator>MEEEM E-Commerce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