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2DE" w:rsidRDefault="00DE001E">
      <w:pPr>
        <w:suppressLineNumbers/>
        <w:rPr>
          <w:b/>
          <w:bCs/>
          <w:sz w:val="36"/>
          <w:szCs w:val="36"/>
        </w:rPr>
      </w:pPr>
      <w:r>
        <w:rPr>
          <w:b/>
          <w:bCs/>
          <w:sz w:val="36"/>
          <w:szCs w:val="36"/>
        </w:rPr>
        <w:t xml:space="preserve">Safety, Effectiveness and Acceptability of Telemedicine for </w:t>
      </w:r>
      <w:r>
        <w:rPr>
          <w:b/>
          <w:bCs/>
          <w:sz w:val="36"/>
          <w:szCs w:val="36"/>
        </w:rPr>
        <w:t>Medical Abortion</w:t>
      </w:r>
      <w:r>
        <w:rPr>
          <w:b/>
          <w:bCs/>
          <w:sz w:val="36"/>
          <w:szCs w:val="36"/>
        </w:rPr>
        <w:t xml:space="preserve"> up to 10 weeks’ Gestation</w:t>
      </w:r>
      <w:r>
        <w:rPr>
          <w:b/>
          <w:bCs/>
          <w:sz w:val="36"/>
          <w:szCs w:val="36"/>
        </w:rPr>
        <w:t xml:space="preserve"> </w:t>
      </w:r>
    </w:p>
    <w:p w:rsidR="003552DE" w:rsidRDefault="00DE001E">
      <w:pPr>
        <w:rPr>
          <w:sz w:val="28"/>
          <w:szCs w:val="28"/>
        </w:rPr>
      </w:pPr>
      <w:r>
        <w:rPr>
          <w:b/>
          <w:sz w:val="28"/>
          <w:szCs w:val="28"/>
        </w:rPr>
        <w:t xml:space="preserve">Authors:   </w:t>
      </w:r>
    </w:p>
    <w:p w:rsidR="003552DE" w:rsidRDefault="00DE001E">
      <w:pPr>
        <w:rPr>
          <w:i/>
          <w:shd w:val="clear" w:color="auto" w:fill="FFFFFF"/>
        </w:rPr>
      </w:pPr>
      <w:r>
        <w:rPr>
          <w:i/>
          <w:shd w:val="clear" w:color="auto" w:fill="FFFFFF"/>
        </w:rPr>
        <w:t>[Name, qualification, title x2, address, e-mail.   Add * for corresponding author]</w:t>
      </w:r>
    </w:p>
    <w:p w:rsidR="003552DE" w:rsidRDefault="00DE001E">
      <w:pPr>
        <w:rPr>
          <w:shd w:val="clear" w:color="auto" w:fill="FFFFFF"/>
        </w:rPr>
      </w:pPr>
      <w:r>
        <w:rPr>
          <w:shd w:val="clear" w:color="auto" w:fill="FFFFFF"/>
        </w:rPr>
        <w:t>Abigail Aiken, MD, MPH, PhD*</w:t>
      </w:r>
    </w:p>
    <w:p w:rsidR="003552DE" w:rsidRDefault="00DE001E">
      <w:pPr>
        <w:rPr>
          <w:shd w:val="clear" w:color="auto" w:fill="FFFFFF"/>
        </w:rPr>
      </w:pPr>
      <w:r>
        <w:rPr>
          <w:shd w:val="clear" w:color="auto" w:fill="FFFFFF"/>
        </w:rPr>
        <w:t>Associate Professor of Public Affairs, LBJ School of Public Affairs</w:t>
      </w:r>
    </w:p>
    <w:p w:rsidR="003552DE" w:rsidRDefault="00DE001E">
      <w:pPr>
        <w:rPr>
          <w:shd w:val="clear" w:color="auto" w:fill="FFFFFF"/>
        </w:rPr>
      </w:pPr>
      <w:r>
        <w:rPr>
          <w:shd w:val="clear" w:color="auto" w:fill="FFFFFF"/>
        </w:rPr>
        <w:t xml:space="preserve">University of Texas at Austin, </w:t>
      </w:r>
      <w:hyperlink r:id="rId6">
        <w:r>
          <w:rPr>
            <w:rStyle w:val="Hyperlink"/>
            <w:shd w:val="clear" w:color="auto" w:fill="FFFFFF"/>
          </w:rPr>
          <w:t>araa2@utexas.edu</w:t>
        </w:r>
      </w:hyperlink>
    </w:p>
    <w:p w:rsidR="003552DE" w:rsidRDefault="003552DE">
      <w:pPr>
        <w:rPr>
          <w:shd w:val="clear" w:color="auto" w:fill="FFFFFF"/>
        </w:rPr>
      </w:pPr>
    </w:p>
    <w:p w:rsidR="003552DE" w:rsidRDefault="00DE001E">
      <w:pPr>
        <w:rPr>
          <w:shd w:val="clear" w:color="auto" w:fill="FFFFFF"/>
        </w:rPr>
      </w:pPr>
      <w:r>
        <w:rPr>
          <w:shd w:val="clear" w:color="auto" w:fill="FFFFFF"/>
        </w:rPr>
        <w:t>Patricia A. Lohr, MD MPH</w:t>
      </w:r>
    </w:p>
    <w:p w:rsidR="003552DE" w:rsidRDefault="00DE001E">
      <w:pPr>
        <w:rPr>
          <w:shd w:val="clear" w:color="auto" w:fill="FFFFFF"/>
        </w:rPr>
      </w:pPr>
      <w:r>
        <w:rPr>
          <w:shd w:val="clear" w:color="auto" w:fill="FFFFFF"/>
        </w:rPr>
        <w:t>Medical Director, British Pregnancy Advisory Service</w:t>
      </w:r>
    </w:p>
    <w:p w:rsidR="003552DE" w:rsidRDefault="00DE001E">
      <w:pPr>
        <w:rPr>
          <w:shd w:val="clear" w:color="auto" w:fill="FFFFFF"/>
        </w:rPr>
      </w:pPr>
      <w:r>
        <w:rPr>
          <w:shd w:val="clear" w:color="auto" w:fill="FFFFFF"/>
        </w:rPr>
        <w:t xml:space="preserve">Stratford upon Avon, CV37 9BF  </w:t>
      </w:r>
      <w:hyperlink r:id="rId7">
        <w:r>
          <w:rPr>
            <w:rStyle w:val="Hyperlink"/>
            <w:shd w:val="clear" w:color="auto" w:fill="FFFFFF"/>
          </w:rPr>
          <w:t>patricia.lohr@bpas.org</w:t>
        </w:r>
      </w:hyperlink>
    </w:p>
    <w:p w:rsidR="003552DE" w:rsidRDefault="003552DE">
      <w:pPr>
        <w:rPr>
          <w:shd w:val="clear" w:color="auto" w:fill="FFFFFF"/>
        </w:rPr>
      </w:pPr>
    </w:p>
    <w:p w:rsidR="003552DE" w:rsidRDefault="00DE001E">
      <w:pPr>
        <w:rPr>
          <w:shd w:val="clear" w:color="auto" w:fill="FFFFFF"/>
        </w:rPr>
      </w:pPr>
      <w:r>
        <w:rPr>
          <w:shd w:val="clear" w:color="auto" w:fill="FFFFFF"/>
        </w:rPr>
        <w:t>Jonathan Lord, MD</w:t>
      </w:r>
    </w:p>
    <w:p w:rsidR="003552DE" w:rsidRDefault="00DE001E">
      <w:pPr>
        <w:rPr>
          <w:shd w:val="clear" w:color="auto" w:fill="FFFFFF"/>
        </w:rPr>
      </w:pPr>
      <w:r>
        <w:rPr>
          <w:shd w:val="clear" w:color="auto" w:fill="FFFFFF"/>
        </w:rPr>
        <w:t>Medical Director, M</w:t>
      </w:r>
      <w:r>
        <w:rPr>
          <w:shd w:val="clear" w:color="auto" w:fill="FFFFFF"/>
        </w:rPr>
        <w:t>SI Reproductive Choices</w:t>
      </w:r>
      <w:r>
        <w:rPr>
          <w:shd w:val="clear" w:color="auto" w:fill="FFFFFF"/>
        </w:rPr>
        <w:t xml:space="preserve">.   Consultant gynaecologist.   </w:t>
      </w:r>
    </w:p>
    <w:p w:rsidR="003552DE" w:rsidRDefault="00DE001E">
      <w:pPr>
        <w:rPr>
          <w:shd w:val="clear" w:color="auto" w:fill="FFFFFF"/>
          <w:lang w:val="es-ES"/>
        </w:rPr>
      </w:pPr>
      <w:r>
        <w:rPr>
          <w:shd w:val="clear" w:color="auto" w:fill="FFFFFF"/>
        </w:rPr>
        <w:t>1 Conway Street, Fitzroy Square, London W1T 6</w:t>
      </w:r>
      <w:r>
        <w:rPr>
          <w:shd w:val="clear" w:color="auto" w:fill="FFFFFF"/>
        </w:rPr>
        <w:t>LP</w:t>
      </w:r>
      <w:r w:rsidRPr="002514E5">
        <w:rPr>
          <w:shd w:val="clear" w:color="auto" w:fill="FFFFFF"/>
          <w:lang w:val="es-ES"/>
        </w:rPr>
        <w:t xml:space="preserve">.   </w:t>
      </w:r>
      <w:hyperlink r:id="rId8">
        <w:r>
          <w:rPr>
            <w:rStyle w:val="Hyperlink"/>
            <w:shd w:val="clear" w:color="auto" w:fill="FFFFFF"/>
            <w:lang w:val="es-ES"/>
          </w:rPr>
          <w:t>J.lord@exeter.ac.uk</w:t>
        </w:r>
      </w:hyperlink>
      <w:r w:rsidRPr="002514E5">
        <w:rPr>
          <w:shd w:val="clear" w:color="auto" w:fill="FFFFFF"/>
          <w:lang w:val="es-ES"/>
        </w:rPr>
        <w:t xml:space="preserve"> </w:t>
      </w:r>
    </w:p>
    <w:p w:rsidR="003552DE" w:rsidRDefault="003552DE">
      <w:pPr>
        <w:rPr>
          <w:shd w:val="clear" w:color="auto" w:fill="FFFFFF"/>
          <w:lang w:val="es-ES"/>
        </w:rPr>
      </w:pPr>
    </w:p>
    <w:p w:rsidR="003552DE" w:rsidRDefault="00DE001E">
      <w:pPr>
        <w:rPr>
          <w:shd w:val="clear" w:color="auto" w:fill="FFFFFF"/>
        </w:rPr>
      </w:pPr>
      <w:r>
        <w:rPr>
          <w:shd w:val="clear" w:color="auto" w:fill="FFFFFF"/>
        </w:rPr>
        <w:t>Nabanita Ghosh</w:t>
      </w:r>
      <w:r>
        <w:rPr>
          <w:shd w:val="clear" w:color="auto" w:fill="FFFFFF"/>
        </w:rPr>
        <w:t xml:space="preserve"> (FRCOG) </w:t>
      </w:r>
    </w:p>
    <w:p w:rsidR="003552DE" w:rsidRDefault="00DE001E">
      <w:pPr>
        <w:rPr>
          <w:shd w:val="clear" w:color="auto" w:fill="FFFFFF"/>
        </w:rPr>
      </w:pPr>
      <w:r>
        <w:rPr>
          <w:shd w:val="clear" w:color="auto" w:fill="FFFFFF"/>
        </w:rPr>
        <w:t>Medical Director</w:t>
      </w:r>
      <w:r>
        <w:rPr>
          <w:shd w:val="clear" w:color="auto" w:fill="FFFFFF"/>
        </w:rPr>
        <w:t>, N</w:t>
      </w:r>
      <w:r>
        <w:rPr>
          <w:shd w:val="clear" w:color="auto" w:fill="FFFFFF"/>
        </w:rPr>
        <w:t>ational Unplanned Preg</w:t>
      </w:r>
      <w:r>
        <w:rPr>
          <w:shd w:val="clear" w:color="auto" w:fill="FFFFFF"/>
        </w:rPr>
        <w:t>nan</w:t>
      </w:r>
      <w:r>
        <w:rPr>
          <w:shd w:val="clear" w:color="auto" w:fill="FFFFFF"/>
        </w:rPr>
        <w:t xml:space="preserve">cy Advisory Services (NUPAS) </w:t>
      </w:r>
    </w:p>
    <w:p w:rsidR="003552DE" w:rsidRDefault="00DE001E">
      <w:pPr>
        <w:rPr>
          <w:shd w:val="clear" w:color="auto" w:fill="FFFFFF"/>
        </w:rPr>
      </w:pPr>
      <w:r>
        <w:rPr>
          <w:shd w:val="clear" w:color="auto" w:fill="FFFFFF"/>
        </w:rPr>
        <w:t>nghosh@nhs,net</w:t>
      </w:r>
    </w:p>
    <w:p w:rsidR="003552DE" w:rsidRDefault="003552DE">
      <w:pPr>
        <w:rPr>
          <w:shd w:val="clear" w:color="auto" w:fill="FFFFFF"/>
        </w:rPr>
      </w:pPr>
    </w:p>
    <w:p w:rsidR="003552DE" w:rsidRDefault="003552DE">
      <w:pPr>
        <w:rPr>
          <w:shd w:val="clear" w:color="auto" w:fill="FFFFFF"/>
        </w:rPr>
      </w:pPr>
    </w:p>
    <w:p w:rsidR="003552DE" w:rsidRDefault="00DE001E">
      <w:pPr>
        <w:rPr>
          <w:shd w:val="clear" w:color="auto" w:fill="FFFFFF"/>
        </w:rPr>
      </w:pPr>
      <w:r>
        <w:rPr>
          <w:shd w:val="clear" w:color="auto" w:fill="FFFFFF"/>
        </w:rPr>
        <w:t>Jennifer Starling</w:t>
      </w:r>
    </w:p>
    <w:p w:rsidR="003552DE" w:rsidRDefault="00DE001E">
      <w:pPr>
        <w:rPr>
          <w:shd w:val="clear" w:color="auto" w:fill="FFFFFF"/>
        </w:rPr>
      </w:pPr>
      <w:r>
        <w:rPr>
          <w:shd w:val="clear" w:color="auto" w:fill="FFFFFF"/>
        </w:rPr>
        <w:t>? others?</w:t>
      </w:r>
    </w:p>
    <w:p w:rsidR="003552DE" w:rsidRDefault="003552DE">
      <w:pPr>
        <w:rPr>
          <w:shd w:val="clear" w:color="auto" w:fill="FFFFFF"/>
        </w:rPr>
      </w:pPr>
    </w:p>
    <w:p w:rsidR="003552DE" w:rsidRDefault="00DE001E">
      <w:pPr>
        <w:rPr>
          <w:shd w:val="clear" w:color="auto" w:fill="FFFFFF"/>
        </w:rPr>
      </w:pPr>
      <w:r>
        <w:rPr>
          <w:shd w:val="clear" w:color="auto" w:fill="FFFFFF"/>
        </w:rPr>
        <w:t>* = Corresponding author</w:t>
      </w:r>
    </w:p>
    <w:p w:rsidR="003552DE" w:rsidRDefault="003552DE">
      <w:pPr>
        <w:rPr>
          <w:shd w:val="clear" w:color="auto" w:fill="FFFFFF"/>
        </w:rPr>
      </w:pPr>
    </w:p>
    <w:p w:rsidR="003552DE" w:rsidRDefault="003552DE">
      <w:pPr>
        <w:rPr>
          <w:shd w:val="clear" w:color="auto" w:fill="FFFFFF"/>
        </w:rPr>
      </w:pPr>
    </w:p>
    <w:p w:rsidR="003552DE" w:rsidRDefault="00DE001E">
      <w:pPr>
        <w:rPr>
          <w:shd w:val="clear" w:color="auto" w:fill="FFFFFF"/>
        </w:rPr>
      </w:pPr>
      <w:r>
        <w:rPr>
          <w:shd w:val="clear" w:color="auto" w:fill="FFFFFF"/>
        </w:rPr>
        <w:t>Word Count - 3005</w:t>
      </w:r>
    </w:p>
    <w:p w:rsidR="003552DE" w:rsidRDefault="003552DE">
      <w:pPr>
        <w:rPr>
          <w:shd w:val="clear" w:color="auto" w:fill="FFFFFF"/>
        </w:rPr>
      </w:pPr>
    </w:p>
    <w:p w:rsidR="003552DE" w:rsidRDefault="003552DE">
      <w:pPr>
        <w:rPr>
          <w:shd w:val="clear" w:color="auto" w:fill="FFFFFF"/>
        </w:rPr>
      </w:pPr>
    </w:p>
    <w:p w:rsidR="003552DE" w:rsidRDefault="00DE001E">
      <w:pPr>
        <w:rPr>
          <w:sz w:val="28"/>
          <w:szCs w:val="28"/>
        </w:rPr>
      </w:pPr>
      <w:r>
        <w:rPr>
          <w:b/>
          <w:sz w:val="28"/>
          <w:szCs w:val="28"/>
        </w:rPr>
        <w:lastRenderedPageBreak/>
        <w:t xml:space="preserve">Keywords:   </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Abortion, Induced [E04.520.050]</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Telemedicine [N04.590.374.800]</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Ambulatory Care Facilities [N02.278.035]</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Health Planning [N03.349]</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Pregnancy Complications [C13.703]</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Mifepristone [D04.210.500.365.415.580]</w:t>
      </w:r>
    </w:p>
    <w:p w:rsidR="003552DE" w:rsidRDefault="00DE001E">
      <w:pPr>
        <w:rPr>
          <w:rFonts w:ascii="Helvetica" w:hAnsi="Helvetica"/>
          <w:color w:val="333333"/>
          <w:sz w:val="21"/>
          <w:szCs w:val="21"/>
          <w:shd w:val="clear" w:color="auto" w:fill="FFFFFF"/>
        </w:rPr>
      </w:pPr>
      <w:r>
        <w:rPr>
          <w:rFonts w:ascii="Helvetica" w:hAnsi="Helvetica"/>
          <w:color w:val="333333"/>
          <w:sz w:val="21"/>
          <w:szCs w:val="21"/>
          <w:shd w:val="clear" w:color="auto" w:fill="FFFFFF"/>
        </w:rPr>
        <w:t>Misoprostol [</w:t>
      </w:r>
      <w:r>
        <w:rPr>
          <w:rFonts w:ascii="Helvetica" w:hAnsi="Helvetica"/>
          <w:color w:val="333333"/>
          <w:sz w:val="21"/>
          <w:szCs w:val="21"/>
          <w:shd w:val="clear" w:color="auto" w:fill="FFFFFF"/>
        </w:rPr>
        <w:t>D23.469.700.660.500]</w:t>
      </w:r>
    </w:p>
    <w:p w:rsidR="003552DE" w:rsidRDefault="003552DE">
      <w:pPr>
        <w:rPr>
          <w:rFonts w:ascii="Helvetica" w:hAnsi="Helvetica"/>
          <w:color w:val="333333"/>
          <w:sz w:val="21"/>
          <w:szCs w:val="21"/>
          <w:shd w:val="clear" w:color="auto" w:fill="FFFFFF"/>
        </w:rPr>
      </w:pPr>
    </w:p>
    <w:p w:rsidR="003552DE" w:rsidRDefault="003552DE">
      <w:pPr>
        <w:rPr>
          <w:shd w:val="clear" w:color="auto" w:fill="FFFFFF"/>
        </w:rPr>
      </w:pPr>
    </w:p>
    <w:p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rsidR="003552DE" w:rsidRDefault="003552DE">
      <w:pPr>
        <w:rPr>
          <w:shd w:val="clear" w:color="auto" w:fill="FFFFFF"/>
        </w:rPr>
      </w:pPr>
    </w:p>
    <w:p w:rsidR="003552DE" w:rsidRDefault="003552DE">
      <w:pPr>
        <w:rPr>
          <w:shd w:val="clear" w:color="auto" w:fill="FFFFFF"/>
        </w:rPr>
      </w:pPr>
    </w:p>
    <w:p w:rsidR="003552DE" w:rsidRDefault="003552DE">
      <w:pPr>
        <w:rPr>
          <w:shd w:val="clear" w:color="auto" w:fill="FFFFFF"/>
        </w:rPr>
      </w:pPr>
    </w:p>
    <w:p w:rsidR="003552DE" w:rsidRDefault="00DE001E">
      <w:pPr>
        <w:rPr>
          <w:b/>
          <w:sz w:val="28"/>
          <w:szCs w:val="28"/>
        </w:rPr>
      </w:pPr>
      <w:r>
        <w:rPr>
          <w:b/>
          <w:sz w:val="28"/>
          <w:szCs w:val="28"/>
        </w:rPr>
        <w:t>Abstract</w:t>
      </w:r>
    </w:p>
    <w:p w:rsidR="003552DE" w:rsidRDefault="00DE001E">
      <w:pPr>
        <w:rPr>
          <w:shd w:val="clear" w:color="auto" w:fill="FFFFFF"/>
        </w:rPr>
      </w:pPr>
      <w:r>
        <w:rPr>
          <w:shd w:val="clear" w:color="auto" w:fill="FFFFFF"/>
        </w:rPr>
        <w:t>Background</w:t>
      </w:r>
    </w:p>
    <w:p w:rsidR="003552DE" w:rsidRDefault="00DE001E">
      <w:pPr>
        <w:rPr>
          <w:shd w:val="clear" w:color="auto" w:fill="FFFFFF"/>
        </w:rPr>
      </w:pPr>
      <w:r>
        <w:rPr>
          <w:shd w:val="clear" w:color="auto" w:fill="FFFFFF"/>
        </w:rPr>
        <w:t>When the COVID pandemic emerged a</w:t>
      </w:r>
      <w:r>
        <w:rPr>
          <w:shd w:val="clear" w:color="auto" w:fill="FFFFFF"/>
        </w:rPr>
        <w:t xml:space="preserve">pproval </w:t>
      </w:r>
      <w:r>
        <w:rPr>
          <w:shd w:val="clear" w:color="auto" w:fill="FFFFFF"/>
        </w:rPr>
        <w:t xml:space="preserve">was granted in Britain for the </w:t>
      </w:r>
      <w:r>
        <w:rPr>
          <w:shd w:val="clear" w:color="auto" w:fill="FFFFFF"/>
        </w:rPr>
        <w:t xml:space="preserve">home </w:t>
      </w:r>
      <w:r>
        <w:rPr>
          <w:shd w:val="clear" w:color="auto" w:fill="FFFFFF"/>
        </w:rPr>
        <w:t>use of mifepristone and misoprostol for medical abortion up to 10 weeks’ gestation</w:t>
      </w:r>
      <w:r>
        <w:rPr>
          <w:shd w:val="clear" w:color="auto" w:fill="FFFFFF"/>
        </w:rPr>
        <w:t xml:space="preserve">. This led to </w:t>
      </w:r>
      <w:r>
        <w:rPr>
          <w:shd w:val="clear" w:color="auto" w:fill="FFFFFF"/>
        </w:rPr>
        <w:t xml:space="preserve">widespread implementation </w:t>
      </w:r>
      <w:r>
        <w:rPr>
          <w:shd w:val="clear" w:color="auto" w:fill="FFFFFF"/>
        </w:rPr>
        <w:t xml:space="preserve">of telemedical </w:t>
      </w:r>
      <w:r>
        <w:rPr>
          <w:shd w:val="clear" w:color="auto" w:fill="FFFFFF"/>
        </w:rPr>
        <w:t>abortion</w:t>
      </w:r>
      <w:r>
        <w:rPr>
          <w:shd w:val="clear" w:color="auto" w:fill="FFFFFF"/>
        </w:rPr>
        <w:t>.</w:t>
      </w:r>
      <w:r>
        <w:rPr>
          <w:shd w:val="clear" w:color="auto" w:fill="FFFFFF"/>
        </w:rPr>
        <w:t xml:space="preserve"> </w:t>
      </w:r>
      <w:r>
        <w:rPr>
          <w:shd w:val="clear" w:color="auto" w:fill="FFFFFF"/>
        </w:rPr>
        <w:t xml:space="preserve">We </w:t>
      </w:r>
      <w:r>
        <w:rPr>
          <w:shd w:val="clear" w:color="auto" w:fill="FFFFFF"/>
        </w:rPr>
        <w:t>aimed to compare</w:t>
      </w:r>
      <w:r>
        <w:rPr>
          <w:shd w:val="clear" w:color="auto" w:fill="FFFFFF"/>
        </w:rPr>
        <w:t xml:space="preserve"> </w:t>
      </w:r>
      <w:r>
        <w:rPr>
          <w:shd w:val="clear" w:color="auto" w:fill="FFFFFF"/>
        </w:rPr>
        <w:t>outcomes and acceptability of</w:t>
      </w:r>
      <w:r>
        <w:rPr>
          <w:shd w:val="clear" w:color="auto" w:fill="FFFFFF"/>
        </w:rPr>
        <w:t xml:space="preserve"> medical abortion before and after </w:t>
      </w:r>
      <w:r>
        <w:rPr>
          <w:shd w:val="clear" w:color="auto" w:fill="FFFFFF"/>
        </w:rPr>
        <w:t xml:space="preserve">telemedicine </w:t>
      </w:r>
      <w:r>
        <w:rPr>
          <w:shd w:val="clear" w:color="auto" w:fill="FFFFFF"/>
        </w:rPr>
        <w:t>became</w:t>
      </w:r>
      <w:r>
        <w:rPr>
          <w:shd w:val="clear" w:color="auto" w:fill="FFFFFF"/>
        </w:rPr>
        <w:t xml:space="preserve"> available</w:t>
      </w:r>
      <w:r>
        <w:rPr>
          <w:shd w:val="clear" w:color="auto" w:fill="FFFFFF"/>
        </w:rPr>
        <w:t xml:space="preserve">. </w:t>
      </w:r>
    </w:p>
    <w:p w:rsidR="003552DE" w:rsidRDefault="003552DE">
      <w:pPr>
        <w:rPr>
          <w:shd w:val="clear" w:color="auto" w:fill="FFFFFF"/>
        </w:rPr>
      </w:pPr>
    </w:p>
    <w:p w:rsidR="003552DE" w:rsidRDefault="00DE001E">
      <w:pPr>
        <w:rPr>
          <w:shd w:val="clear" w:color="auto" w:fill="FFFFFF"/>
        </w:rPr>
      </w:pPr>
      <w:r>
        <w:rPr>
          <w:shd w:val="clear" w:color="auto" w:fill="FFFFFF"/>
        </w:rPr>
        <w:t>Methods</w:t>
      </w:r>
    </w:p>
    <w:p w:rsidR="003552DE" w:rsidRDefault="00DE001E">
      <w:pPr>
        <w:rPr>
          <w:shd w:val="clear" w:color="auto" w:fill="FFFFFF"/>
        </w:rPr>
      </w:pPr>
      <w:r>
        <w:rPr>
          <w:shd w:val="clear" w:color="auto" w:fill="FFFFFF"/>
        </w:rPr>
        <w:t xml:space="preserve">We </w:t>
      </w:r>
      <w:r>
        <w:rPr>
          <w:shd w:val="clear" w:color="auto" w:fill="FFFFFF"/>
        </w:rPr>
        <w:t>analysed</w:t>
      </w:r>
      <w:r>
        <w:rPr>
          <w:shd w:val="clear" w:color="auto" w:fill="FFFFFF"/>
        </w:rPr>
        <w:t xml:space="preserve"> data </w:t>
      </w:r>
      <w:r>
        <w:rPr>
          <w:shd w:val="clear" w:color="auto" w:fill="FFFFFF"/>
        </w:rPr>
        <w:t>from</w:t>
      </w:r>
      <w:r>
        <w:rPr>
          <w:shd w:val="clear" w:color="auto" w:fill="FFFFFF"/>
        </w:rPr>
        <w:t xml:space="preserve"> the</w:t>
      </w:r>
      <w:r>
        <w:rPr>
          <w:shd w:val="clear" w:color="auto" w:fill="FFFFFF"/>
        </w:rPr>
        <w:t xml:space="preserve"> three main</w:t>
      </w:r>
      <w:r>
        <w:rPr>
          <w:shd w:val="clear" w:color="auto" w:fill="FFFFFF"/>
        </w:rPr>
        <w:t xml:space="preserve"> abortion</w:t>
      </w:r>
      <w:r>
        <w:rPr>
          <w:shd w:val="clear" w:color="auto" w:fill="FFFFFF"/>
        </w:rPr>
        <w:t xml:space="preserve"> providers in England and Wales.</w:t>
      </w:r>
      <w:r>
        <w:rPr>
          <w:shd w:val="clear" w:color="auto" w:fill="FFFFFF"/>
        </w:rPr>
        <w:t xml:space="preserve"> </w:t>
      </w:r>
      <w:r>
        <w:rPr>
          <w:shd w:val="clear" w:color="auto" w:fill="FFFFFF"/>
        </w:rPr>
        <w:t xml:space="preserve">We </w:t>
      </w:r>
      <w:r>
        <w:rPr>
          <w:shd w:val="clear" w:color="auto" w:fill="FFFFFF"/>
        </w:rPr>
        <w:t>defined</w:t>
      </w:r>
      <w:r>
        <w:rPr>
          <w:shd w:val="clear" w:color="auto" w:fill="FFFFFF"/>
        </w:rPr>
        <w:t xml:space="preserve"> </w:t>
      </w:r>
      <w:r>
        <w:rPr>
          <w:shd w:val="clear" w:color="auto" w:fill="FFFFFF"/>
        </w:rPr>
        <w:t xml:space="preserve">two </w:t>
      </w:r>
      <w:r>
        <w:rPr>
          <w:shd w:val="clear" w:color="auto" w:fill="FFFFFF"/>
        </w:rPr>
        <w:t>cohorts</w:t>
      </w:r>
      <w:r>
        <w:rPr>
          <w:shd w:val="clear" w:color="auto" w:fill="FFFFFF"/>
        </w:rPr>
        <w:t xml:space="preserve">: </w:t>
      </w:r>
      <w:r>
        <w:rPr>
          <w:shd w:val="clear" w:color="auto" w:fill="FFFFFF"/>
        </w:rPr>
        <w:t>‘p</w:t>
      </w:r>
      <w:r>
        <w:rPr>
          <w:shd w:val="clear" w:color="auto" w:fill="FFFFFF"/>
        </w:rPr>
        <w:t>re-</w:t>
      </w:r>
      <w:r>
        <w:rPr>
          <w:shd w:val="clear" w:color="auto" w:fill="FFFFFF"/>
        </w:rPr>
        <w:t>Covid</w:t>
      </w:r>
      <w:r>
        <w:rPr>
          <w:shd w:val="clear" w:color="auto" w:fill="FFFFFF"/>
        </w:rPr>
        <w:t>’</w:t>
      </w:r>
      <w:r>
        <w:rPr>
          <w:shd w:val="clear" w:color="auto" w:fill="FFFFFF"/>
        </w:rPr>
        <w:t xml:space="preserve"> </w:t>
      </w:r>
      <w:r>
        <w:rPr>
          <w:shd w:val="clear" w:color="auto" w:fill="FFFFFF"/>
        </w:rPr>
        <w:t>consisting</w:t>
      </w:r>
      <w:r>
        <w:rPr>
          <w:shd w:val="clear" w:color="auto" w:fill="FFFFFF"/>
        </w:rPr>
        <w:t xml:space="preserve"> of </w:t>
      </w:r>
      <w:r>
        <w:rPr>
          <w:shd w:val="clear" w:color="auto" w:fill="FFFFFF"/>
        </w:rPr>
        <w:t xml:space="preserve">clients who </w:t>
      </w:r>
      <w:r>
        <w:rPr>
          <w:shd w:val="clear" w:color="auto" w:fill="FFFFFF"/>
        </w:rPr>
        <w:t>accessed</w:t>
      </w:r>
      <w:r>
        <w:rPr>
          <w:shd w:val="clear" w:color="auto" w:fill="FFFFFF"/>
        </w:rPr>
        <w:t xml:space="preserve"> medical abortion</w:t>
      </w:r>
      <w:r>
        <w:rPr>
          <w:shd w:val="clear" w:color="auto" w:fill="FFFFFF"/>
        </w:rPr>
        <w:t xml:space="preserve"> </w:t>
      </w:r>
      <w:r>
        <w:rPr>
          <w:shd w:val="clear" w:color="auto" w:fill="FFFFFF"/>
        </w:rPr>
        <w:t>in</w:t>
      </w:r>
      <w:r>
        <w:rPr>
          <w:shd w:val="clear" w:color="auto" w:fill="FFFFFF"/>
        </w:rPr>
        <w:t xml:space="preserve"> </w:t>
      </w:r>
      <w:r>
        <w:rPr>
          <w:shd w:val="clear" w:color="auto" w:fill="FFFFFF"/>
        </w:rPr>
        <w:t xml:space="preserve">person </w:t>
      </w:r>
      <w:r>
        <w:rPr>
          <w:shd w:val="clear" w:color="auto" w:fill="FFFFFF"/>
        </w:rPr>
        <w:t xml:space="preserve">from </w:t>
      </w:r>
      <w:r>
        <w:rPr>
          <w:shd w:val="clear" w:color="auto" w:fill="FFFFFF"/>
        </w:rPr>
        <w:t>January-March</w:t>
      </w:r>
      <w:r>
        <w:rPr>
          <w:shd w:val="clear" w:color="auto" w:fill="FFFFFF"/>
        </w:rPr>
        <w:t xml:space="preserve"> 202</w:t>
      </w:r>
      <w:r>
        <w:rPr>
          <w:shd w:val="clear" w:color="auto" w:fill="FFFFFF"/>
        </w:rPr>
        <w:t>0, and ‘post-</w:t>
      </w:r>
      <w:r>
        <w:rPr>
          <w:shd w:val="clear" w:color="auto" w:fill="FFFFFF"/>
        </w:rPr>
        <w:t>Covid</w:t>
      </w:r>
      <w:r>
        <w:rPr>
          <w:shd w:val="clear" w:color="auto" w:fill="FFFFFF"/>
        </w:rPr>
        <w:t xml:space="preserve">’ </w:t>
      </w:r>
      <w:r>
        <w:rPr>
          <w:shd w:val="clear" w:color="auto" w:fill="FFFFFF"/>
        </w:rPr>
        <w:t>from April-June 2020</w:t>
      </w:r>
      <w:r>
        <w:rPr>
          <w:shd w:val="clear" w:color="auto" w:fill="FFFFFF"/>
        </w:rPr>
        <w:t xml:space="preserve">, where patients largely </w:t>
      </w:r>
      <w:r>
        <w:rPr>
          <w:shd w:val="clear" w:color="auto" w:fill="FFFFFF"/>
        </w:rPr>
        <w:t>accessed telemedicine medical abortion services</w:t>
      </w:r>
      <w:r>
        <w:rPr>
          <w:shd w:val="clear" w:color="auto" w:fill="FFFFFF"/>
        </w:rPr>
        <w:t xml:space="preserve">. </w:t>
      </w:r>
      <w:r>
        <w:rPr>
          <w:shd w:val="clear" w:color="auto" w:fill="FFFFFF"/>
        </w:rPr>
        <w:t xml:space="preserve">We classified patients as receiving in-person or telemedicine services; </w:t>
      </w:r>
      <w:r>
        <w:rPr>
          <w:shd w:val="clear" w:color="auto" w:fill="FFFFFF"/>
        </w:rPr>
        <w:t>t</w:t>
      </w:r>
      <w:r>
        <w:rPr>
          <w:shd w:val="clear" w:color="auto" w:fill="FFFFFF"/>
        </w:rPr>
        <w:t xml:space="preserve">elemedicine </w:t>
      </w:r>
      <w:r>
        <w:rPr>
          <w:shd w:val="clear" w:color="auto" w:fill="FFFFFF"/>
        </w:rPr>
        <w:t>was</w:t>
      </w:r>
      <w:r>
        <w:rPr>
          <w:shd w:val="clear" w:color="auto" w:fill="FFFFFF"/>
        </w:rPr>
        <w:t xml:space="preserve"> </w:t>
      </w:r>
      <w:r>
        <w:rPr>
          <w:shd w:val="clear" w:color="auto" w:fill="FFFFFF"/>
        </w:rPr>
        <w:t xml:space="preserve">provision </w:t>
      </w:r>
      <w:r>
        <w:rPr>
          <w:shd w:val="clear" w:color="auto" w:fill="FFFFFF"/>
        </w:rPr>
        <w:t xml:space="preserve">of </w:t>
      </w:r>
      <w:r>
        <w:rPr>
          <w:shd w:val="clear" w:color="auto" w:fill="FFFFFF"/>
        </w:rPr>
        <w:t xml:space="preserve">medications for </w:t>
      </w:r>
      <w:r>
        <w:rPr>
          <w:shd w:val="clear" w:color="auto" w:fill="FFFFFF"/>
        </w:rPr>
        <w:t xml:space="preserve">home </w:t>
      </w:r>
      <w:r>
        <w:rPr>
          <w:shd w:val="clear" w:color="auto" w:fill="FFFFFF"/>
        </w:rPr>
        <w:t xml:space="preserve">use </w:t>
      </w:r>
      <w:r>
        <w:rPr>
          <w:shd w:val="clear" w:color="auto" w:fill="FFFFFF"/>
        </w:rPr>
        <w:t xml:space="preserve">following </w:t>
      </w:r>
      <w:r>
        <w:rPr>
          <w:shd w:val="clear" w:color="auto" w:fill="FFFFFF"/>
        </w:rPr>
        <w:t>phone/video</w:t>
      </w:r>
      <w:r>
        <w:rPr>
          <w:shd w:val="clear" w:color="auto" w:fill="FFFFFF"/>
        </w:rPr>
        <w:t xml:space="preserve"> consultation without pre-procedure</w:t>
      </w:r>
      <w:r>
        <w:rPr>
          <w:shd w:val="clear" w:color="auto" w:fill="FFFFFF"/>
        </w:rPr>
        <w:t xml:space="preserve"> </w:t>
      </w:r>
      <w:r>
        <w:rPr>
          <w:shd w:val="clear" w:color="auto" w:fill="FFFFFF"/>
        </w:rPr>
        <w:t xml:space="preserve">ultrasound. </w:t>
      </w:r>
      <w:r>
        <w:rPr>
          <w:shd w:val="clear" w:color="auto" w:fill="FFFFFF"/>
        </w:rPr>
        <w:t xml:space="preserve">  We compared </w:t>
      </w:r>
      <w:r>
        <w:rPr>
          <w:shd w:val="clear" w:color="auto" w:fill="FFFFFF"/>
        </w:rPr>
        <w:t xml:space="preserve">demographic and clinical characteristics, </w:t>
      </w:r>
      <w:r>
        <w:rPr>
          <w:shd w:val="clear" w:color="auto" w:fill="FFFFFF"/>
        </w:rPr>
        <w:t>abortion success rates (complete abortion without surgical intervention or continuing pregnancy), significant adverse event rates (haemorrhage requiring transfusion, infection requiring intravenous antibiotics, maj</w:t>
      </w:r>
      <w:r>
        <w:rPr>
          <w:shd w:val="clear" w:color="auto" w:fill="FFFFFF"/>
        </w:rPr>
        <w:t xml:space="preserve">or surgery, death) and significant outcomes (ectopic pregnancy, treatment </w:t>
      </w:r>
      <w:r>
        <w:rPr>
          <w:rFonts w:cstheme="minorHAnsi"/>
          <w:shd w:val="clear" w:color="auto" w:fill="FFFFFF"/>
        </w:rPr>
        <w:t>≥</w:t>
      </w:r>
      <w:r>
        <w:rPr>
          <w:shd w:val="clear" w:color="auto" w:fill="FFFFFF"/>
        </w:rPr>
        <w:t>10 weeks’ gestation).  Comparisons were conducted for the pre versus post-Covid cohorts, and the in-person versus telemedicine cohorts in the post-Covid period.  We adjusted outcome</w:t>
      </w:r>
      <w:r>
        <w:rPr>
          <w:shd w:val="clear" w:color="auto" w:fill="FFFFFF"/>
        </w:rPr>
        <w:t xml:space="preserve"> comparisons for covariates. We obtained acceptability and preference data from each provider. </w:t>
      </w:r>
    </w:p>
    <w:p w:rsidR="003552DE" w:rsidRDefault="003552DE">
      <w:pPr>
        <w:rPr>
          <w:shd w:val="clear" w:color="auto" w:fill="FFFFFF"/>
        </w:rPr>
      </w:pPr>
    </w:p>
    <w:p w:rsidR="003552DE" w:rsidRDefault="00DE001E">
      <w:pPr>
        <w:rPr>
          <w:shd w:val="clear" w:color="auto" w:fill="FFFFFF"/>
        </w:rPr>
      </w:pPr>
      <w:r>
        <w:rPr>
          <w:shd w:val="clear" w:color="auto" w:fill="FFFFFF"/>
        </w:rPr>
        <w:t xml:space="preserve"> </w:t>
      </w:r>
    </w:p>
    <w:p w:rsidR="003552DE" w:rsidRDefault="003552DE">
      <w:pPr>
        <w:rPr>
          <w:shd w:val="clear" w:color="auto" w:fill="FFFFFF"/>
        </w:rPr>
      </w:pPr>
    </w:p>
    <w:p w:rsidR="003552DE" w:rsidRDefault="00DE001E">
      <w:pPr>
        <w:rPr>
          <w:shd w:val="clear" w:color="auto" w:fill="FFFFFF"/>
        </w:rPr>
      </w:pPr>
      <w:r>
        <w:rPr>
          <w:shd w:val="clear" w:color="auto" w:fill="FFFFFF"/>
        </w:rPr>
        <w:t xml:space="preserve">   </w:t>
      </w:r>
    </w:p>
    <w:p w:rsidR="003552DE" w:rsidRDefault="00DE001E">
      <w:pPr>
        <w:rPr>
          <w:shd w:val="clear" w:color="auto" w:fill="FFFFFF"/>
        </w:rPr>
      </w:pPr>
      <w:r>
        <w:rPr>
          <w:shd w:val="clear" w:color="auto" w:fill="FFFFFF"/>
        </w:rPr>
        <w:t>Findings</w:t>
      </w:r>
    </w:p>
    <w:p w:rsidR="003552DE" w:rsidRDefault="00DE001E">
      <w:pPr>
        <w:rPr>
          <w:shd w:val="clear" w:color="auto" w:fill="FFFFFF"/>
        </w:rPr>
      </w:pPr>
      <w:r>
        <w:rPr>
          <w:shd w:val="clear" w:color="auto" w:fill="FFFFFF"/>
        </w:rPr>
        <w:t>In</w:t>
      </w:r>
      <w:r>
        <w:rPr>
          <w:shd w:val="clear" w:color="auto" w:fill="FFFFFF"/>
        </w:rPr>
        <w:t xml:space="preserve"> the periods of interest 61,310 medical abortion</w:t>
      </w:r>
      <w:r>
        <w:rPr>
          <w:shd w:val="clear" w:color="auto" w:fill="FFFFFF"/>
        </w:rPr>
        <w:t>s</w:t>
      </w:r>
      <w:r>
        <w:rPr>
          <w:shd w:val="clear" w:color="auto" w:fill="FFFFFF"/>
        </w:rPr>
        <w:t xml:space="preserve"> were reported in</w:t>
      </w:r>
      <w:r>
        <w:rPr>
          <w:shd w:val="clear" w:color="auto" w:fill="FFFFFF"/>
        </w:rPr>
        <w:t xml:space="preserve"> England and Wales</w:t>
      </w:r>
      <w:r>
        <w:rPr>
          <w:shd w:val="clear" w:color="auto" w:fill="FFFFFF"/>
        </w:rPr>
        <w:t xml:space="preserve">. </w:t>
      </w:r>
      <w:r>
        <w:rPr>
          <w:shd w:val="clear" w:color="auto" w:fill="FFFFFF"/>
        </w:rPr>
        <w:t xml:space="preserve">We analysed outcomes for </w:t>
      </w:r>
      <w:r>
        <w:rPr>
          <w:shd w:val="clear" w:color="auto" w:fill="FFFFFF"/>
        </w:rPr>
        <w:t>52,14</w:t>
      </w:r>
      <w:r>
        <w:rPr>
          <w:shd w:val="clear" w:color="auto" w:fill="FFFFFF"/>
        </w:rPr>
        <w:t>2</w:t>
      </w:r>
      <w:r>
        <w:rPr>
          <w:shd w:val="clear" w:color="auto" w:fill="FFFFFF"/>
        </w:rPr>
        <w:t xml:space="preserve"> </w:t>
      </w:r>
      <w:r>
        <w:rPr>
          <w:shd w:val="clear" w:color="auto" w:fill="FFFFFF"/>
        </w:rPr>
        <w:t>abortions</w:t>
      </w:r>
      <w:r>
        <w:rPr>
          <w:shd w:val="clear" w:color="auto" w:fill="FFFFFF"/>
        </w:rPr>
        <w:t xml:space="preserve"> (85.0%)</w:t>
      </w:r>
      <w:r>
        <w:rPr>
          <w:shd w:val="clear" w:color="auto" w:fill="FFFFFF"/>
        </w:rPr>
        <w:t xml:space="preserve">; </w:t>
      </w:r>
      <w:r>
        <w:rPr>
          <w:shd w:val="clear" w:color="auto" w:fill="FFFFFF"/>
        </w:rPr>
        <w:t xml:space="preserve">22,158 </w:t>
      </w:r>
      <w:r>
        <w:rPr>
          <w:shd w:val="clear" w:color="auto" w:fill="FFFFFF"/>
        </w:rPr>
        <w:t>pre-</w:t>
      </w:r>
      <w:r>
        <w:rPr>
          <w:shd w:val="clear" w:color="auto" w:fill="FFFFFF"/>
        </w:rPr>
        <w:t>telemedicine</w:t>
      </w:r>
      <w:r>
        <w:rPr>
          <w:shd w:val="clear" w:color="auto" w:fill="FFFFFF"/>
        </w:rPr>
        <w:t xml:space="preserve"> and 29,984 </w:t>
      </w:r>
      <w:r>
        <w:rPr>
          <w:shd w:val="clear" w:color="auto" w:fill="FFFFFF"/>
        </w:rPr>
        <w:t xml:space="preserve"> post-</w:t>
      </w:r>
      <w:r>
        <w:rPr>
          <w:shd w:val="clear" w:color="auto" w:fill="FFFFFF"/>
        </w:rPr>
        <w:t>telemedicine</w:t>
      </w:r>
      <w:r>
        <w:rPr>
          <w:shd w:val="clear" w:color="auto" w:fill="FFFFFF"/>
        </w:rPr>
        <w:t xml:space="preserve">.   </w:t>
      </w:r>
      <w:r>
        <w:rPr>
          <w:shd w:val="clear" w:color="auto" w:fill="FFFFFF"/>
        </w:rPr>
        <w:t>Mean waiting times were 4.2 days shorter</w:t>
      </w:r>
      <w:r>
        <w:rPr>
          <w:shd w:val="clear" w:color="auto" w:fill="FFFFFF"/>
        </w:rPr>
        <w:t xml:space="preserve"> </w:t>
      </w:r>
      <w:r>
        <w:rPr>
          <w:shd w:val="clear" w:color="auto" w:fill="FFFFFF"/>
        </w:rPr>
        <w:t xml:space="preserve">after </w:t>
      </w:r>
      <w:r>
        <w:rPr>
          <w:shd w:val="clear" w:color="auto" w:fill="FFFFFF"/>
        </w:rPr>
        <w:t xml:space="preserve">telemedicine </w:t>
      </w:r>
      <w:r>
        <w:rPr>
          <w:shd w:val="clear" w:color="auto" w:fill="FFFFFF"/>
        </w:rPr>
        <w:t xml:space="preserve">implementation </w:t>
      </w:r>
      <w:r>
        <w:rPr>
          <w:shd w:val="clear" w:color="auto" w:fill="FFFFFF"/>
        </w:rPr>
        <w:t xml:space="preserve">and </w:t>
      </w:r>
      <w:r>
        <w:rPr>
          <w:shd w:val="clear" w:color="auto" w:fill="FFFFFF"/>
        </w:rPr>
        <w:t>more t</w:t>
      </w:r>
      <w:r>
        <w:rPr>
          <w:shd w:val="clear" w:color="auto" w:fill="FFFFFF"/>
        </w:rPr>
        <w:t>reatment</w:t>
      </w:r>
      <w:r>
        <w:rPr>
          <w:shd w:val="clear" w:color="auto" w:fill="FFFFFF"/>
        </w:rPr>
        <w:t>s</w:t>
      </w:r>
      <w:r>
        <w:rPr>
          <w:shd w:val="clear" w:color="auto" w:fill="FFFFFF"/>
        </w:rPr>
        <w:t xml:space="preserve"> w</w:t>
      </w:r>
      <w:r>
        <w:rPr>
          <w:shd w:val="clear" w:color="auto" w:fill="FFFFFF"/>
        </w:rPr>
        <w:t>ere</w:t>
      </w:r>
      <w:r>
        <w:rPr>
          <w:shd w:val="clear" w:color="auto" w:fill="FFFFFF"/>
        </w:rPr>
        <w:t xml:space="preserve"> provided at</w:t>
      </w:r>
      <w:r>
        <w:rPr>
          <w:shd w:val="clear" w:color="auto" w:fill="FFFFFF"/>
        </w:rPr>
        <w:t xml:space="preserve"> </w:t>
      </w:r>
      <w:r>
        <w:rPr>
          <w:rFonts w:cstheme="minorHAnsi"/>
          <w:shd w:val="clear" w:color="auto" w:fill="FFFFFF"/>
        </w:rPr>
        <w:t>≤</w:t>
      </w:r>
      <w:r>
        <w:rPr>
          <w:shd w:val="clear" w:color="auto" w:fill="FFFFFF"/>
        </w:rPr>
        <w:t>6 weeks</w:t>
      </w:r>
      <w:r>
        <w:rPr>
          <w:shd w:val="clear" w:color="auto" w:fill="FFFFFF"/>
        </w:rPr>
        <w:t>’</w:t>
      </w:r>
      <w:r>
        <w:rPr>
          <w:shd w:val="clear" w:color="auto" w:fill="FFFFFF"/>
        </w:rPr>
        <w:t xml:space="preserve"> gestation</w:t>
      </w:r>
      <w:r>
        <w:rPr>
          <w:shd w:val="clear" w:color="auto" w:fill="FFFFFF"/>
        </w:rPr>
        <w:t xml:space="preserve"> </w:t>
      </w:r>
      <w:r>
        <w:rPr>
          <w:shd w:val="clear" w:color="auto" w:fill="FFFFFF"/>
        </w:rPr>
        <w:t>(</w:t>
      </w:r>
      <w:r>
        <w:rPr>
          <w:shd w:val="clear" w:color="auto" w:fill="FFFFFF"/>
        </w:rPr>
        <w:t>14% difference</w:t>
      </w:r>
      <w:r>
        <w:rPr>
          <w:shd w:val="clear" w:color="auto" w:fill="FFFFFF"/>
        </w:rPr>
        <w:t xml:space="preserve">, </w:t>
      </w:r>
      <w:r>
        <w:rPr>
          <w:shd w:val="clear" w:color="auto" w:fill="FFFFFF"/>
        </w:rPr>
        <w:t>p&lt;0</w:t>
      </w:r>
      <w:r>
        <w:rPr>
          <w:shd w:val="clear" w:color="auto" w:fill="FFFFFF"/>
        </w:rPr>
        <w:t>.001</w:t>
      </w:r>
      <w:r>
        <w:rPr>
          <w:shd w:val="clear" w:color="auto" w:fill="FFFFFF"/>
        </w:rPr>
        <w:t>)</w:t>
      </w:r>
      <w:r>
        <w:rPr>
          <w:shd w:val="clear" w:color="auto" w:fill="FFFFFF"/>
        </w:rPr>
        <w:t>.</w:t>
      </w:r>
      <w:r>
        <w:rPr>
          <w:shd w:val="clear" w:color="auto" w:fill="FFFFFF"/>
        </w:rPr>
        <w:t xml:space="preserve"> </w:t>
      </w:r>
      <w:r>
        <w:rPr>
          <w:shd w:val="clear" w:color="auto" w:fill="FFFFFF"/>
        </w:rPr>
        <w:t xml:space="preserve">Medical abortion </w:t>
      </w:r>
      <w:r>
        <w:rPr>
          <w:shd w:val="clear" w:color="auto" w:fill="FFFFFF"/>
        </w:rPr>
        <w:t>success</w:t>
      </w:r>
      <w:r>
        <w:rPr>
          <w:shd w:val="clear" w:color="auto" w:fill="FFFFFF"/>
        </w:rPr>
        <w:t xml:space="preserve"> </w:t>
      </w:r>
      <w:r>
        <w:rPr>
          <w:shd w:val="clear" w:color="auto" w:fill="FFFFFF"/>
        </w:rPr>
        <w:t>was</w:t>
      </w:r>
      <w:r>
        <w:rPr>
          <w:shd w:val="clear" w:color="auto" w:fill="FFFFFF"/>
        </w:rPr>
        <w:t xml:space="preserve"> </w:t>
      </w:r>
      <w:r>
        <w:rPr>
          <w:highlight w:val="yellow"/>
          <w:shd w:val="clear" w:color="auto" w:fill="FFFFFF"/>
        </w:rPr>
        <w:t>the same</w:t>
      </w:r>
      <w:r>
        <w:rPr>
          <w:highlight w:val="yellow"/>
          <w:shd w:val="clear" w:color="auto" w:fill="FFFFFF"/>
        </w:rPr>
        <w:t xml:space="preserve"> </w:t>
      </w:r>
      <w:r>
        <w:rPr>
          <w:highlight w:val="yellow"/>
          <w:shd w:val="clear" w:color="auto" w:fill="FFFFFF"/>
        </w:rPr>
        <w:t xml:space="preserve"> </w:t>
      </w:r>
      <w:r>
        <w:rPr>
          <w:shd w:val="clear" w:color="auto" w:fill="FFFFFF"/>
        </w:rPr>
        <w:t>pre- and post-telemedicine</w:t>
      </w:r>
      <w:r>
        <w:rPr>
          <w:shd w:val="clear" w:color="auto" w:fill="FFFFFF"/>
        </w:rPr>
        <w:t xml:space="preserve"> </w:t>
      </w:r>
      <w:r>
        <w:rPr>
          <w:shd w:val="clear" w:color="auto" w:fill="FFFFFF"/>
        </w:rPr>
        <w:t>(98.2%</w:t>
      </w:r>
      <w:r>
        <w:rPr>
          <w:shd w:val="clear" w:color="auto" w:fill="FFFFFF"/>
        </w:rPr>
        <w:t xml:space="preserve"> </w:t>
      </w:r>
      <w:r>
        <w:rPr>
          <w:shd w:val="clear" w:color="auto" w:fill="FFFFFF"/>
        </w:rPr>
        <w:t>vs. 98.8%</w:t>
      </w:r>
      <w:r>
        <w:rPr>
          <w:shd w:val="clear" w:color="auto" w:fill="FFFFFF"/>
        </w:rPr>
        <w:t>,</w:t>
      </w:r>
      <w:r>
        <w:rPr>
          <w:shd w:val="clear" w:color="auto" w:fill="FFFFFF"/>
        </w:rPr>
        <w:t xml:space="preserve"> respectively,</w:t>
      </w:r>
      <w:r>
        <w:rPr>
          <w:shd w:val="clear" w:color="auto" w:fill="FFFFFF"/>
        </w:rPr>
        <w:t xml:space="preserve"> </w:t>
      </w:r>
      <w:r>
        <w:rPr>
          <w:shd w:val="clear" w:color="auto" w:fill="FFFFFF"/>
        </w:rPr>
        <w:t>p=1.0</w:t>
      </w:r>
      <w:r>
        <w:rPr>
          <w:shd w:val="clear" w:color="auto" w:fill="FFFFFF"/>
        </w:rPr>
        <w:t xml:space="preserve">). </w:t>
      </w:r>
      <w:r>
        <w:rPr>
          <w:shd w:val="clear" w:color="auto" w:fill="FFFFFF"/>
        </w:rPr>
        <w:t>S</w:t>
      </w:r>
      <w:r>
        <w:rPr>
          <w:shd w:val="clear" w:color="auto" w:fill="FFFFFF"/>
        </w:rPr>
        <w:t xml:space="preserve">erious adverse events and </w:t>
      </w:r>
      <w:r>
        <w:rPr>
          <w:shd w:val="clear" w:color="auto" w:fill="FFFFFF"/>
        </w:rPr>
        <w:t xml:space="preserve"> </w:t>
      </w:r>
      <w:r>
        <w:rPr>
          <w:shd w:val="clear" w:color="auto" w:fill="FFFFFF"/>
        </w:rPr>
        <w:t>ectopic pregnancy</w:t>
      </w:r>
      <w:r>
        <w:rPr>
          <w:shd w:val="clear" w:color="auto" w:fill="FFFFFF"/>
        </w:rPr>
        <w:t>,</w:t>
      </w:r>
      <w:r>
        <w:rPr>
          <w:shd w:val="clear" w:color="auto" w:fill="FFFFFF"/>
        </w:rPr>
        <w:t xml:space="preserve"> </w:t>
      </w:r>
      <w:r>
        <w:rPr>
          <w:shd w:val="clear" w:color="auto" w:fill="FFFFFF"/>
        </w:rPr>
        <w:t>were r</w:t>
      </w:r>
      <w:r>
        <w:rPr>
          <w:shd w:val="clear" w:color="auto" w:fill="FFFFFF"/>
        </w:rPr>
        <w:t>are</w:t>
      </w:r>
      <w:r>
        <w:rPr>
          <w:shd w:val="clear" w:color="auto" w:fill="FFFFFF"/>
        </w:rPr>
        <w:t xml:space="preserve"> </w:t>
      </w:r>
      <w:r>
        <w:rPr>
          <w:shd w:val="clear" w:color="auto" w:fill="FFFFFF"/>
        </w:rPr>
        <w:t>and</w:t>
      </w:r>
      <w:r>
        <w:rPr>
          <w:shd w:val="clear" w:color="auto" w:fill="FFFFFF"/>
        </w:rPr>
        <w:t xml:space="preserve"> </w:t>
      </w:r>
      <w:r>
        <w:rPr>
          <w:highlight w:val="yellow"/>
          <w:shd w:val="clear" w:color="auto" w:fill="FFFFFF"/>
        </w:rPr>
        <w:t>not different</w:t>
      </w:r>
      <w:r>
        <w:rPr>
          <w:shd w:val="clear" w:color="auto" w:fill="FFFFFF"/>
        </w:rPr>
        <w:t xml:space="preserve"> between groups (p=1.0)</w:t>
      </w:r>
      <w:r>
        <w:rPr>
          <w:shd w:val="clear" w:color="auto" w:fill="FFFFFF"/>
        </w:rPr>
        <w:t xml:space="preserve">.  </w:t>
      </w:r>
      <w:r>
        <w:rPr>
          <w:shd w:val="clear" w:color="auto" w:fill="FFFFFF"/>
        </w:rPr>
        <w:t xml:space="preserve">A </w:t>
      </w:r>
      <w:r>
        <w:rPr>
          <w:shd w:val="clear" w:color="auto" w:fill="FFFFFF"/>
        </w:rPr>
        <w:t xml:space="preserve">small </w:t>
      </w:r>
      <w:r>
        <w:rPr>
          <w:shd w:val="clear" w:color="auto" w:fill="FFFFFF"/>
        </w:rPr>
        <w:t>proportion</w:t>
      </w:r>
      <w:r>
        <w:rPr>
          <w:shd w:val="clear" w:color="auto" w:fill="FFFFFF"/>
        </w:rPr>
        <w:t xml:space="preserve"> (0.06%) </w:t>
      </w:r>
      <w:r>
        <w:rPr>
          <w:shd w:val="clear" w:color="auto" w:fill="FFFFFF"/>
        </w:rPr>
        <w:t xml:space="preserve">were </w:t>
      </w:r>
      <w:r>
        <w:rPr>
          <w:shd w:val="clear" w:color="auto" w:fill="FFFFFF"/>
        </w:rPr>
        <w:t xml:space="preserve">assessed as </w:t>
      </w:r>
      <w:r>
        <w:rPr>
          <w:rFonts w:cstheme="minorHAnsi"/>
          <w:shd w:val="clear" w:color="auto" w:fill="FFFFFF"/>
        </w:rPr>
        <w:t>≥</w:t>
      </w:r>
      <w:r>
        <w:rPr>
          <w:shd w:val="clear" w:color="auto" w:fill="FFFFFF"/>
        </w:rPr>
        <w:t>10 weeks’ gestation</w:t>
      </w:r>
      <w:r>
        <w:rPr>
          <w:shd w:val="clear" w:color="auto" w:fill="FFFFFF"/>
        </w:rPr>
        <w:t xml:space="preserve"> </w:t>
      </w:r>
      <w:r>
        <w:rPr>
          <w:shd w:val="clear" w:color="auto" w:fill="FFFFFF"/>
        </w:rPr>
        <w:t>after terminati</w:t>
      </w:r>
      <w:r>
        <w:rPr>
          <w:shd w:val="clear" w:color="auto" w:fill="FFFFFF"/>
        </w:rPr>
        <w:t>on</w:t>
      </w:r>
      <w:r>
        <w:rPr>
          <w:shd w:val="clear" w:color="auto" w:fill="FFFFFF"/>
        </w:rPr>
        <w:t xml:space="preserve"> at home</w:t>
      </w:r>
      <w:r>
        <w:rPr>
          <w:shd w:val="clear" w:color="auto" w:fill="FFFFFF"/>
        </w:rPr>
        <w:t xml:space="preserve">. </w:t>
      </w:r>
      <w:r>
        <w:rPr>
          <w:shd w:val="clear" w:color="auto" w:fill="FFFFFF"/>
        </w:rPr>
        <w:t xml:space="preserve"> </w:t>
      </w:r>
      <w:r>
        <w:rPr>
          <w:shd w:val="clear" w:color="auto" w:fill="FFFFFF"/>
        </w:rPr>
        <w:t>When directly c</w:t>
      </w:r>
      <w:r>
        <w:rPr>
          <w:shd w:val="clear" w:color="auto" w:fill="FFFFFF"/>
        </w:rPr>
        <w:t>omparing</w:t>
      </w:r>
      <w:r>
        <w:rPr>
          <w:shd w:val="clear" w:color="auto" w:fill="FFFFFF"/>
        </w:rPr>
        <w:t xml:space="preserve"> abortions by</w:t>
      </w:r>
      <w:r>
        <w:rPr>
          <w:shd w:val="clear" w:color="auto" w:fill="FFFFFF"/>
        </w:rPr>
        <w:t xml:space="preserve"> telemedic</w:t>
      </w:r>
      <w:r>
        <w:rPr>
          <w:shd w:val="clear" w:color="auto" w:fill="FFFFFF"/>
        </w:rPr>
        <w:t>ine</w:t>
      </w:r>
      <w:r>
        <w:rPr>
          <w:shd w:val="clear" w:color="auto" w:fill="FFFFFF"/>
        </w:rPr>
        <w:t xml:space="preserve"> (n=18,435)</w:t>
      </w:r>
      <w:r>
        <w:rPr>
          <w:shd w:val="clear" w:color="auto" w:fill="FFFFFF"/>
        </w:rPr>
        <w:t xml:space="preserve"> to in-pe</w:t>
      </w:r>
      <w:r>
        <w:rPr>
          <w:shd w:val="clear" w:color="auto" w:fill="FFFFFF"/>
        </w:rPr>
        <w:t>rson</w:t>
      </w:r>
      <w:r>
        <w:rPr>
          <w:shd w:val="clear" w:color="auto" w:fill="FFFFFF"/>
        </w:rPr>
        <w:t xml:space="preserve"> (n=</w:t>
      </w:r>
      <w:r>
        <w:rPr>
          <w:shd w:val="clear" w:color="auto" w:fill="FFFFFF"/>
        </w:rPr>
        <w:t>11,549)</w:t>
      </w:r>
      <w:r>
        <w:rPr>
          <w:shd w:val="clear" w:color="auto" w:fill="FFFFFF"/>
        </w:rPr>
        <w:t>,</w:t>
      </w:r>
      <w:r>
        <w:rPr>
          <w:shd w:val="clear" w:color="auto" w:fill="FFFFFF"/>
        </w:rPr>
        <w:t xml:space="preserve"> effectiveness</w:t>
      </w:r>
      <w:r>
        <w:rPr>
          <w:shd w:val="clear" w:color="auto" w:fill="FFFFFF"/>
        </w:rPr>
        <w:t xml:space="preserve"> was </w:t>
      </w:r>
      <w:r>
        <w:rPr>
          <w:shd w:val="clear" w:color="auto" w:fill="FFFFFF"/>
        </w:rPr>
        <w:t xml:space="preserve">higher with </w:t>
      </w:r>
      <w:r>
        <w:rPr>
          <w:shd w:val="clear" w:color="auto" w:fill="FFFFFF"/>
        </w:rPr>
        <w:t>tel</w:t>
      </w:r>
      <w:r>
        <w:rPr>
          <w:shd w:val="clear" w:color="auto" w:fill="FFFFFF"/>
        </w:rPr>
        <w:t>emedicine</w:t>
      </w:r>
      <w:r>
        <w:rPr>
          <w:shd w:val="clear" w:color="auto" w:fill="FFFFFF"/>
        </w:rPr>
        <w:t xml:space="preserve"> (99.2%</w:t>
      </w:r>
      <w:r>
        <w:rPr>
          <w:shd w:val="clear" w:color="auto" w:fill="FFFFFF"/>
        </w:rPr>
        <w:t xml:space="preserve"> vs. 98.1%, </w:t>
      </w:r>
      <w:r>
        <w:rPr>
          <w:shd w:val="clear" w:color="auto" w:fill="FFFFFF"/>
        </w:rPr>
        <w:t>respectively, p&lt;0.001)</w:t>
      </w:r>
      <w:r>
        <w:rPr>
          <w:shd w:val="clear" w:color="auto" w:fill="FFFFFF"/>
        </w:rPr>
        <w:t xml:space="preserve"> </w:t>
      </w:r>
      <w:r>
        <w:rPr>
          <w:shd w:val="clear" w:color="auto" w:fill="FFFFFF"/>
        </w:rPr>
        <w:t>but</w:t>
      </w:r>
      <w:r>
        <w:rPr>
          <w:shd w:val="clear" w:color="auto" w:fill="FFFFFF"/>
        </w:rPr>
        <w:t xml:space="preserve"> safety outcomes </w:t>
      </w:r>
      <w:r>
        <w:rPr>
          <w:shd w:val="clear" w:color="auto" w:fill="FFFFFF"/>
        </w:rPr>
        <w:t xml:space="preserve">were </w:t>
      </w:r>
      <w:r>
        <w:rPr>
          <w:highlight w:val="yellow"/>
          <w:shd w:val="clear" w:color="auto" w:fill="FFFFFF"/>
        </w:rPr>
        <w:t>not different</w:t>
      </w:r>
      <w:r>
        <w:rPr>
          <w:shd w:val="clear" w:color="auto" w:fill="FFFFFF"/>
        </w:rPr>
        <w:t xml:space="preserve">. </w:t>
      </w:r>
      <w:r>
        <w:rPr>
          <w:shd w:val="clear" w:color="auto" w:fill="FFFFFF"/>
        </w:rPr>
        <w:t xml:space="preserve"> </w:t>
      </w:r>
      <w:r>
        <w:rPr>
          <w:shd w:val="clear" w:color="auto" w:fill="FFFFFF"/>
        </w:rPr>
        <w:t>Acceptability was</w:t>
      </w:r>
      <w:r>
        <w:rPr>
          <w:shd w:val="clear" w:color="auto" w:fill="FFFFFF"/>
        </w:rPr>
        <w:t xml:space="preserve"> </w:t>
      </w:r>
      <w:r>
        <w:rPr>
          <w:shd w:val="clear" w:color="auto" w:fill="FFFFFF"/>
        </w:rPr>
        <w:t>high (x%)</w:t>
      </w:r>
      <w:r>
        <w:rPr>
          <w:shd w:val="clear" w:color="auto" w:fill="FFFFFF"/>
        </w:rPr>
        <w:t xml:space="preserve"> and 83</w:t>
      </w:r>
      <w:r>
        <w:rPr>
          <w:shd w:val="clear" w:color="auto" w:fill="FFFFFF"/>
        </w:rPr>
        <w:t xml:space="preserve">% reported </w:t>
      </w:r>
      <w:r>
        <w:rPr>
          <w:shd w:val="clear" w:color="auto" w:fill="FFFFFF"/>
        </w:rPr>
        <w:t xml:space="preserve">future </w:t>
      </w:r>
      <w:r>
        <w:rPr>
          <w:shd w:val="clear" w:color="auto" w:fill="FFFFFF"/>
        </w:rPr>
        <w:t>preference</w:t>
      </w:r>
      <w:r>
        <w:rPr>
          <w:shd w:val="clear" w:color="auto" w:fill="FFFFFF"/>
        </w:rPr>
        <w:t>s</w:t>
      </w:r>
      <w:r>
        <w:rPr>
          <w:shd w:val="clear" w:color="auto" w:fill="FFFFFF"/>
        </w:rPr>
        <w:t xml:space="preserve"> for telemedicine</w:t>
      </w:r>
      <w:r>
        <w:rPr>
          <w:shd w:val="clear" w:color="auto" w:fill="FFFFFF"/>
        </w:rPr>
        <w:t xml:space="preserve">.   </w:t>
      </w:r>
    </w:p>
    <w:p w:rsidR="003552DE" w:rsidRDefault="003552DE">
      <w:pPr>
        <w:rPr>
          <w:shd w:val="clear" w:color="auto" w:fill="FFFFFF"/>
        </w:rPr>
      </w:pPr>
    </w:p>
    <w:p w:rsidR="003552DE" w:rsidRDefault="00DE001E">
      <w:pPr>
        <w:rPr>
          <w:shd w:val="clear" w:color="auto" w:fill="FFFFFF"/>
        </w:rPr>
      </w:pPr>
      <w:r>
        <w:rPr>
          <w:shd w:val="clear" w:color="auto" w:fill="FFFFFF"/>
        </w:rPr>
        <w:t>Interpretation</w:t>
      </w:r>
    </w:p>
    <w:p w:rsidR="003552DE" w:rsidRDefault="00DE001E">
      <w:pPr>
        <w:rPr>
          <w:shd w:val="clear" w:color="auto" w:fill="FFFFFF"/>
        </w:rPr>
      </w:pPr>
      <w:r>
        <w:rPr>
          <w:shd w:val="clear" w:color="auto" w:fill="FFFFFF"/>
        </w:rPr>
        <w:t>T</w:t>
      </w:r>
      <w:r>
        <w:rPr>
          <w:shd w:val="clear" w:color="auto" w:fill="FFFFFF"/>
        </w:rPr>
        <w:t>elemedic</w:t>
      </w:r>
      <w:r>
        <w:rPr>
          <w:shd w:val="clear" w:color="auto" w:fill="FFFFFF"/>
        </w:rPr>
        <w:t>al</w:t>
      </w:r>
      <w:r>
        <w:rPr>
          <w:shd w:val="clear" w:color="auto" w:fill="FFFFFF"/>
        </w:rPr>
        <w:t xml:space="preserve"> abortion is </w:t>
      </w:r>
      <w:r>
        <w:rPr>
          <w:highlight w:val="yellow"/>
          <w:shd w:val="clear" w:color="auto" w:fill="FFFFFF"/>
        </w:rPr>
        <w:t>non-inferior</w:t>
      </w:r>
      <w:r>
        <w:rPr>
          <w:shd w:val="clear" w:color="auto" w:fill="FFFFFF"/>
        </w:rPr>
        <w:t xml:space="preserve"> to </w:t>
      </w:r>
      <w:r>
        <w:rPr>
          <w:shd w:val="clear" w:color="auto" w:fill="FFFFFF"/>
        </w:rPr>
        <w:t>in-person pathways</w:t>
      </w:r>
      <w:r>
        <w:rPr>
          <w:shd w:val="clear" w:color="auto" w:fill="FFFFFF"/>
        </w:rPr>
        <w:t xml:space="preserve"> and improves access to care.   </w:t>
      </w:r>
    </w:p>
    <w:p w:rsidR="003552DE" w:rsidRDefault="00DE001E">
      <w:pPr>
        <w:rPr>
          <w:shd w:val="clear" w:color="auto" w:fill="FFFFFF"/>
        </w:rPr>
      </w:pPr>
      <w:r>
        <w:rPr>
          <w:shd w:val="clear" w:color="auto" w:fill="FFFFFF"/>
        </w:rPr>
        <w:t>Funding</w:t>
      </w:r>
    </w:p>
    <w:p w:rsidR="003552DE" w:rsidRDefault="00DE001E">
      <w:pPr>
        <w:rPr>
          <w:shd w:val="clear" w:color="auto" w:fill="FFFFFF"/>
        </w:rPr>
      </w:pPr>
      <w:r>
        <w:rPr>
          <w:shd w:val="clear" w:color="auto" w:fill="FFFFFF"/>
        </w:rPr>
        <w:t>None</w:t>
      </w:r>
    </w:p>
    <w:p w:rsidR="003552DE" w:rsidRDefault="00DE001E">
      <w:pPr>
        <w:rPr>
          <w:b/>
          <w:sz w:val="28"/>
          <w:szCs w:val="28"/>
        </w:rPr>
      </w:pPr>
      <w:r>
        <w:br w:type="page"/>
      </w:r>
    </w:p>
    <w:p w:rsidR="003552DE" w:rsidRDefault="00DE001E">
      <w:pPr>
        <w:rPr>
          <w:b/>
          <w:sz w:val="28"/>
          <w:szCs w:val="28"/>
        </w:rPr>
      </w:pPr>
      <w:r>
        <w:rPr>
          <w:b/>
          <w:sz w:val="28"/>
          <w:szCs w:val="28"/>
        </w:rPr>
        <w:lastRenderedPageBreak/>
        <w:t>Research in context</w:t>
      </w:r>
    </w:p>
    <w:p w:rsidR="003552DE" w:rsidRDefault="00DE001E">
      <w:pPr>
        <w:rPr>
          <w:b/>
        </w:rPr>
      </w:pPr>
      <w:r>
        <w:rPr>
          <w:b/>
        </w:rPr>
        <w:t>Evidence before this study</w:t>
      </w:r>
    </w:p>
    <w:p w:rsidR="003552DE" w:rsidRDefault="00DE001E">
      <w:pPr>
        <w:rPr>
          <w:shd w:val="clear" w:color="auto" w:fill="FFFFFF"/>
        </w:rPr>
      </w:pPr>
      <w:r>
        <w:rPr>
          <w:shd w:val="clear" w:color="auto" w:fill="FFFFFF"/>
        </w:rPr>
        <w:t>There is long-standing evidence that medical abortion at home is safe</w:t>
      </w:r>
      <w:r>
        <w:rPr>
          <w:shd w:val="clear" w:color="auto" w:fill="FFFFFF"/>
        </w:rPr>
        <w:t xml:space="preserve">, </w:t>
      </w:r>
      <w:r>
        <w:rPr>
          <w:shd w:val="clear" w:color="auto" w:fill="FFFFFF"/>
        </w:rPr>
        <w:t>effective</w:t>
      </w:r>
      <w:r>
        <w:rPr>
          <w:shd w:val="clear" w:color="auto" w:fill="FFFFFF"/>
        </w:rPr>
        <w:t xml:space="preserve"> and highly acceptable</w:t>
      </w:r>
      <w:r>
        <w:rPr>
          <w:shd w:val="clear" w:color="auto" w:fill="FFFFFF"/>
        </w:rPr>
        <w:t>.</w:t>
      </w:r>
      <w:r>
        <w:fldChar w:fldCharType="begin"/>
      </w:r>
      <w:r>
        <w:rPr>
          <w:shd w:val="clear" w:color="auto" w:fill="FFFFFF"/>
        </w:rPr>
        <w:instrText>ADDIN EN.CITE &lt;EndNote&gt;&lt;Cite&gt;&lt;Author&gt;World Health Organization (WHO)&lt;/Author&gt;&lt;Year&gt;2018&lt;/Year&gt;&lt;RecNum&gt;114&lt;</w:instrText>
      </w:r>
      <w:r>
        <w:rPr>
          <w:shd w:val="clear" w:color="auto" w:fill="FFFFFF"/>
        </w:rPr>
        <w:instrText>/RecNum&gt;&lt;DisplayText&gt;&lt;style face="superscript"&gt;13&lt;/style&gt;&lt;/DisplayText&gt;&lt;record&gt;&lt;rec-number&gt;114&lt;/rec-number&gt;&lt;foreign-keys&gt;&lt;key app="EN" db-id="5v5xpasrytpefpe52xr5a9vvtrww9ts0p9d9" timestamp="1591738194"&gt;114&lt;/key&gt;&lt;/foreign-keys&gt;&lt;ref-type name="Report"&gt;27&lt;/r</w:instrText>
      </w:r>
      <w:r>
        <w:rPr>
          <w:shd w:val="clear" w:color="auto" w:fill="FFFFFF"/>
        </w:rPr>
        <w:instrText>ef-type&gt;&lt;contributors&gt;&lt;authors&gt;&lt;author&gt;World Health Organization (WHO), &lt;/author&gt;&lt;/authors&gt;&lt;tertiary-authors&gt;&lt;author&gt;WHO&lt;/author&gt;&lt;/tertiary-authors&gt;&lt;/contributors&gt;&lt;titles&gt;&lt;title&gt;Medical management of abortion&lt;/title&gt;&lt;/titles&gt;&lt;dates&gt;&lt;year&gt;2018&lt;/year&gt;&lt;pub-da</w:instrText>
      </w:r>
      <w:r>
        <w:rPr>
          <w:shd w:val="clear" w:color="auto" w:fill="FFFFFF"/>
        </w:rPr>
        <w:instrText>tes&gt;&lt;date&gt;2018&lt;/date&gt;&lt;/pub-dates&gt;&lt;/dates&gt;&lt;pub-location&gt;Geneva&lt;/pub-location&gt;&lt;label&gt;82&lt;/label&gt;&lt;urls&gt;&lt;related-urls&gt;&lt;url&gt;&lt;style face="underline" font="default" size="100%"&gt;www.who.int/reproductivehealth/publications/medical-management-abortion/en/&lt;/style&gt;&lt;/ur</w:instrText>
      </w:r>
      <w:r>
        <w:rPr>
          <w:shd w:val="clear" w:color="auto" w:fill="FFFFFF"/>
        </w:rPr>
        <w:instrText>l&gt;&lt;/related-urls&gt;&lt;/urls&gt;&lt;access-date&gt;3/17/2020&lt;/access-date&gt;&lt;/record&gt;&lt;/Cite&gt;&lt;/EndNote&gt;</w:instrText>
      </w:r>
      <w:r>
        <w:rPr>
          <w:shd w:val="clear" w:color="auto" w:fill="FFFFFF"/>
        </w:rPr>
        <w:fldChar w:fldCharType="separate"/>
      </w:r>
      <w:r>
        <w:rPr>
          <w:shd w:val="clear" w:color="auto" w:fill="FFFFFF"/>
        </w:rPr>
        <w:fldChar w:fldCharType="end"/>
      </w:r>
      <w:r>
        <w:rPr>
          <w:shd w:val="clear" w:color="auto" w:fill="FFFFFF"/>
        </w:rPr>
        <w:t xml:space="preserve"> </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rPr>
        <w:fldChar w:fldCharType="end"/>
      </w:r>
      <w:r>
        <w:t xml:space="preserve">Based on its systematic review into abortion service organisation, the </w:t>
      </w:r>
      <w:r>
        <w:t xml:space="preserve">UK’s National Institute for Health and Care Excellence (NICE) </w:t>
      </w:r>
      <w:r>
        <w:t xml:space="preserve">recommended that telemedicine should be considered </w:t>
      </w:r>
      <w:r>
        <w:t>to improve access</w:t>
      </w:r>
      <w:r>
        <w:t xml:space="preserve"> to abortion care</w:t>
      </w:r>
      <w:r>
        <w:t>.</w:t>
      </w:r>
      <w:r>
        <w:t xml:space="preserve"> </w:t>
      </w:r>
      <w:r>
        <w:t xml:space="preserve"> </w:t>
      </w:r>
      <w:r>
        <w:rPr>
          <w:shd w:val="clear" w:color="auto" w:fill="FFFFFF"/>
        </w:rPr>
        <w:t>Several</w:t>
      </w:r>
      <w:r>
        <w:rPr>
          <w:shd w:val="clear" w:color="auto" w:fill="FFFFFF"/>
        </w:rPr>
        <w:t xml:space="preserve"> models for using telemedicine to facilitate medical abortion have been descr</w:t>
      </w:r>
      <w:r>
        <w:rPr>
          <w:shd w:val="clear" w:color="auto" w:fill="FFFFFF"/>
        </w:rPr>
        <w:t xml:space="preserve">ibed. </w:t>
      </w:r>
      <w:r>
        <w:rPr>
          <w:shd w:val="clear" w:color="auto" w:fill="FFFFFF"/>
        </w:rPr>
        <w:t>M</w:t>
      </w:r>
      <w:r>
        <w:rPr>
          <w:shd w:val="clear" w:color="auto" w:fill="FFFFFF"/>
        </w:rPr>
        <w:t>ost existing trials are small</w:t>
      </w:r>
      <w:r>
        <w:rPr>
          <w:shd w:val="clear" w:color="auto" w:fill="FFFFFF"/>
        </w:rPr>
        <w:t xml:space="preserve">, and many required </w:t>
      </w:r>
      <w:r>
        <w:rPr>
          <w:shd w:val="clear" w:color="auto" w:fill="FFFFFF"/>
        </w:rPr>
        <w:t>attendances</w:t>
      </w:r>
      <w:r>
        <w:rPr>
          <w:shd w:val="clear" w:color="auto" w:fill="FFFFFF"/>
        </w:rPr>
        <w:t xml:space="preserve"> for investigations such as </w:t>
      </w:r>
      <w:r>
        <w:rPr>
          <w:shd w:val="clear" w:color="auto" w:fill="FFFFFF"/>
        </w:rPr>
        <w:t xml:space="preserve">an </w:t>
      </w:r>
      <w:r>
        <w:rPr>
          <w:shd w:val="clear" w:color="auto" w:fill="FFFFFF"/>
        </w:rPr>
        <w:t xml:space="preserve">ultrasound or blood tests. </w:t>
      </w:r>
    </w:p>
    <w:p w:rsidR="003552DE" w:rsidRDefault="00DE001E">
      <w:r>
        <w:rPr>
          <w:b/>
        </w:rPr>
        <w:t>Added value of this study</w:t>
      </w:r>
    </w:p>
    <w:p w:rsidR="003552DE" w:rsidRDefault="00DE001E">
      <w:r>
        <w:t xml:space="preserve">This is the first </w:t>
      </w:r>
      <w:r>
        <w:t>cohort study</w:t>
      </w:r>
      <w:r>
        <w:t xml:space="preserve"> </w:t>
      </w:r>
      <w:r>
        <w:t xml:space="preserve">to </w:t>
      </w:r>
      <w:r>
        <w:t xml:space="preserve">evaluate outcomes </w:t>
      </w:r>
      <w:r>
        <w:t xml:space="preserve">of </w:t>
      </w:r>
      <w:r>
        <w:t>medical abortion</w:t>
      </w:r>
      <w:r>
        <w:t xml:space="preserve"> since</w:t>
      </w:r>
      <w:r>
        <w:t xml:space="preserve"> approvals </w:t>
      </w:r>
      <w:r>
        <w:t xml:space="preserve">in </w:t>
      </w:r>
      <w:r>
        <w:t>England and Wales</w:t>
      </w:r>
      <w:r>
        <w:t xml:space="preserve"> that permitted widespread implementation of telemedicine f</w:t>
      </w:r>
      <w:r>
        <w:t>or abortion care.</w:t>
      </w:r>
      <w:r>
        <w:t xml:space="preserve"> </w:t>
      </w:r>
      <w:r>
        <w:t xml:space="preserve"> </w:t>
      </w:r>
      <w:r>
        <w:t>The</w:t>
      </w:r>
      <w:r>
        <w:t xml:space="preserve"> </w:t>
      </w:r>
      <w:r>
        <w:t xml:space="preserve">large </w:t>
      </w:r>
      <w:r>
        <w:t>sample</w:t>
      </w:r>
      <w:r>
        <w:t xml:space="preserve"> size of 52,142</w:t>
      </w:r>
      <w:r>
        <w:t xml:space="preserve"> medical abortions</w:t>
      </w:r>
      <w:r>
        <w:t xml:space="preserve"> </w:t>
      </w:r>
      <w:r>
        <w:t xml:space="preserve"> </w:t>
      </w:r>
      <w:r>
        <w:t>represents 8</w:t>
      </w:r>
      <w:r>
        <w:t>5</w:t>
      </w:r>
      <w:r>
        <w:t xml:space="preserve">% of the total </w:t>
      </w:r>
      <w:r>
        <w:t>performed</w:t>
      </w:r>
      <w:r>
        <w:t xml:space="preserve"> in the 2 months prior and 2 months after telemedicine was implemented </w:t>
      </w:r>
      <w:r>
        <w:t>, so it is descriptive at the national population level</w:t>
      </w:r>
      <w:r>
        <w:t>. The sample size also permits</w:t>
      </w:r>
      <w:r>
        <w:t xml:space="preserve"> </w:t>
      </w:r>
      <w:r>
        <w:t>reporting</w:t>
      </w:r>
      <w:r>
        <w:t xml:space="preserve"> </w:t>
      </w:r>
      <w:r>
        <w:t xml:space="preserve"> on low-event rate</w:t>
      </w:r>
      <w:r>
        <w:t>s</w:t>
      </w:r>
      <w:r>
        <w:t xml:space="preserve"> </w:t>
      </w:r>
      <w:r>
        <w:t>(e.g. ectopic pregnancy)</w:t>
      </w:r>
      <w:r>
        <w:t xml:space="preserve"> that has not previously been possible</w:t>
      </w:r>
      <w:r>
        <w:t xml:space="preserve">.  </w:t>
      </w:r>
      <w:r>
        <w:t xml:space="preserve">This </w:t>
      </w:r>
      <w:r>
        <w:t xml:space="preserve">is the largest </w:t>
      </w:r>
      <w:r>
        <w:t xml:space="preserve">study </w:t>
      </w:r>
      <w:r>
        <w:t xml:space="preserve"> evalua</w:t>
      </w:r>
      <w:r>
        <w:t>ting</w:t>
      </w:r>
      <w:r>
        <w:t xml:space="preserve"> outcomes with</w:t>
      </w:r>
      <w:r>
        <w:t xml:space="preserve"> </w:t>
      </w:r>
      <w:r>
        <w:t>a fully remote</w:t>
      </w:r>
      <w:r>
        <w:t xml:space="preserve"> telemedic</w:t>
      </w:r>
      <w:r>
        <w:t>al</w:t>
      </w:r>
      <w:r>
        <w:t xml:space="preserve"> model of </w:t>
      </w:r>
      <w:r>
        <w:t xml:space="preserve">abortion care </w:t>
      </w:r>
      <w:r>
        <w:t>without the need for ultrasound or other pre-procedure testing</w:t>
      </w:r>
      <w:r>
        <w:t xml:space="preserve">.   </w:t>
      </w:r>
    </w:p>
    <w:p w:rsidR="003552DE" w:rsidRDefault="003552DE"/>
    <w:p w:rsidR="003552DE" w:rsidRDefault="00DE001E">
      <w:pPr>
        <w:rPr>
          <w:b/>
        </w:rPr>
      </w:pPr>
      <w:r>
        <w:rPr>
          <w:b/>
        </w:rPr>
        <w:t>Implications of all the available evidence</w:t>
      </w:r>
    </w:p>
    <w:p w:rsidR="003552DE" w:rsidRDefault="00DE001E">
      <w:r>
        <w:t xml:space="preserve">A </w:t>
      </w:r>
      <w:r>
        <w:t>telemedic</w:t>
      </w:r>
      <w:r>
        <w:t>al</w:t>
      </w:r>
      <w:r>
        <w:t xml:space="preserve"> abortion care pathway, w</w:t>
      </w:r>
      <w:r>
        <w:t>ith</w:t>
      </w:r>
      <w:r>
        <w:t xml:space="preserve"> </w:t>
      </w:r>
      <w:r>
        <w:t xml:space="preserve">services </w:t>
      </w:r>
      <w:r>
        <w:t xml:space="preserve"> accessed without the need for </w:t>
      </w:r>
      <w:r>
        <w:t xml:space="preserve">in-person </w:t>
      </w:r>
      <w:r>
        <w:t xml:space="preserve">assessment </w:t>
      </w:r>
      <w:r>
        <w:t xml:space="preserve">or ultrasound scan, is </w:t>
      </w:r>
      <w:r>
        <w:t>as safe</w:t>
      </w:r>
      <w:r>
        <w:t xml:space="preserve"> and</w:t>
      </w:r>
      <w:r>
        <w:t xml:space="preserve"> effective as in</w:t>
      </w:r>
      <w:r>
        <w:t>-person</w:t>
      </w:r>
      <w:r>
        <w:t xml:space="preserve"> pathways for medical abortion care </w:t>
      </w:r>
      <w:r>
        <w:t xml:space="preserve"> care</w:t>
      </w:r>
      <w:r>
        <w:t xml:space="preserve"> </w:t>
      </w:r>
      <w:r>
        <w:t>.</w:t>
      </w:r>
      <w:r>
        <w:t xml:space="preserve">  </w:t>
      </w:r>
      <w:r>
        <w:t>In the model assessed, 62% of medical abortions were able to be delivered  through telemedicine</w:t>
      </w:r>
      <w:r>
        <w:t xml:space="preserve"> suggesting the potential transformative impact of a permi</w:t>
      </w:r>
      <w:r>
        <w:t>ssive framework for medical abor</w:t>
      </w:r>
      <w:r>
        <w:t>tion delivery</w:t>
      </w:r>
      <w:r>
        <w:t xml:space="preserve">. </w:t>
      </w:r>
      <w:r>
        <w:t>T</w:t>
      </w:r>
      <w:r>
        <w:t>elemedic</w:t>
      </w:r>
      <w:r>
        <w:t xml:space="preserve">al </w:t>
      </w:r>
      <w:r>
        <w:t>abortion care improves access, reduces waiting times and gestation at time of abortion and is highly acceptable</w:t>
      </w:r>
      <w:r>
        <w:t xml:space="preserve"> to people using the service</w:t>
      </w:r>
      <w:r>
        <w:t xml:space="preserve">.  </w:t>
      </w:r>
      <w:r>
        <w:t xml:space="preserve">The use of </w:t>
      </w:r>
      <w:r>
        <w:t>communication technologies to facilitate assessment</w:t>
      </w:r>
      <w:r>
        <w:t xml:space="preserve"> and removal of </w:t>
      </w:r>
      <w:r>
        <w:t xml:space="preserve">clinically unnecessary </w:t>
      </w:r>
      <w:r>
        <w:t>interventions</w:t>
      </w:r>
      <w:r>
        <w:t xml:space="preserve"> such as </w:t>
      </w:r>
      <w:r>
        <w:t xml:space="preserve">a routine ultrasound or attendance </w:t>
      </w:r>
      <w:r>
        <w:t xml:space="preserve">at a clinic </w:t>
      </w:r>
      <w:r>
        <w:t xml:space="preserve">to have medications administered </w:t>
      </w:r>
      <w:r>
        <w:t xml:space="preserve">protects </w:t>
      </w:r>
      <w:r>
        <w:t>acce</w:t>
      </w:r>
      <w:r>
        <w:t>ss to</w:t>
      </w:r>
      <w:r>
        <w:t xml:space="preserve"> abortion</w:t>
      </w:r>
      <w:r>
        <w:t xml:space="preserve"> care</w:t>
      </w:r>
      <w:r>
        <w:t xml:space="preserve"> </w:t>
      </w:r>
      <w:r>
        <w:t xml:space="preserve">in the midst of a global pandemic </w:t>
      </w:r>
      <w:r>
        <w:t xml:space="preserve">and </w:t>
      </w:r>
      <w:r>
        <w:t>will remain a</w:t>
      </w:r>
      <w:r>
        <w:t xml:space="preserve"> </w:t>
      </w:r>
      <w:r>
        <w:t xml:space="preserve">significant </w:t>
      </w:r>
      <w:r>
        <w:t xml:space="preserve">quality improvement </w:t>
      </w:r>
      <w:r>
        <w:t>to abortion care</w:t>
      </w:r>
      <w:r>
        <w:t xml:space="preserve"> </w:t>
      </w:r>
      <w:r>
        <w:t xml:space="preserve">after the pandemic </w:t>
      </w:r>
      <w:r>
        <w:t>subsides</w:t>
      </w:r>
      <w:r>
        <w:t xml:space="preserve">. </w:t>
      </w:r>
    </w:p>
    <w:p w:rsidR="003552DE" w:rsidRDefault="003552DE"/>
    <w:p w:rsidR="003552DE" w:rsidRDefault="003552DE"/>
    <w:p w:rsidR="003552DE" w:rsidRDefault="00DE001E">
      <w:pPr>
        <w:rPr>
          <w:b/>
          <w:sz w:val="28"/>
          <w:szCs w:val="28"/>
        </w:rPr>
      </w:pPr>
      <w:r>
        <w:br w:type="page"/>
      </w:r>
    </w:p>
    <w:p w:rsidR="003552DE" w:rsidRDefault="00DE001E">
      <w:pPr>
        <w:rPr>
          <w:b/>
          <w:sz w:val="28"/>
          <w:szCs w:val="28"/>
        </w:rPr>
      </w:pPr>
      <w:r>
        <w:rPr>
          <w:b/>
          <w:sz w:val="28"/>
          <w:szCs w:val="28"/>
        </w:rPr>
        <w:lastRenderedPageBreak/>
        <w:t>Introduction</w:t>
      </w:r>
    </w:p>
    <w:p w:rsidR="003552DE" w:rsidRDefault="00DE001E">
      <w:r>
        <w:t>Telemedicine is the use of information and communication technologies to improve patient outcomes by increasing access to care and medical information [REF</w:t>
      </w:r>
      <w:r>
        <w:t>].  Developed to overcome geographical boundaries, telemedicine has now been adopted</w:t>
      </w:r>
      <w:r>
        <w:t xml:space="preserve"> even where care may be available close to home because it can increase convenience, decrease costs, reduce unnecessary interventions and, in some cases, improve safety</w:t>
      </w:r>
      <w:r>
        <w:t>.</w:t>
      </w:r>
      <w:r>
        <w:fldChar w:fldCharType="begin"/>
      </w:r>
      <w:r>
        <w:instrText>ADDIN EN.CITE &lt;EndNote&gt;&lt;Cite&gt;&lt;Author&gt;Dorsey&lt;/Author&gt;&lt;Year&gt;2020&lt;/Year&gt;&lt;RecNum&gt;1273&lt;/R</w:instrText>
      </w:r>
      <w:r>
        <w:instrText>ecNum&gt;&lt;DisplayText&gt;&lt;style face="superscript"&gt;1&lt;/style&gt;&lt;/DisplayText&gt;&lt;record&gt;&lt;rec-number&gt;1273&lt;/rec-number&gt;&lt;foreign-keys&gt;&lt;key app="EN" db-id="5v5xpasrytpefpe52xr5a9vvtrww9ts0p9d9" timestamp="1605443864"&gt;1273&lt;/key&gt;&lt;/foreign-keys&gt;&lt;ref-type name="Journal Articl</w:instrText>
      </w:r>
      <w:r>
        <w:instrText>e"&gt;17&lt;/ref-type&gt;&lt;contributors&gt;&lt;authors&gt;&lt;author&gt;Dorsey, E. Ray&lt;/author&gt;&lt;author&gt;Topol, Eric J.&lt;/author&gt;&lt;/authors&gt;&lt;/contributors&gt;&lt;titles&gt;&lt;title&gt;Telemedicine 2020 and the next decade&lt;/title&gt;&lt;secondary-title&gt;The Lancet&lt;/secondary-title&gt;&lt;/titles&gt;&lt;periodical&gt;&lt;ful</w:instrText>
      </w:r>
      <w:r>
        <w:instrText>l-title&gt;The Lancet&lt;/full-title&gt;&lt;/periodical&gt;&lt;pages&gt;859&lt;/pages&gt;&lt;volume&gt;395&lt;/volume&gt;&lt;number&gt;10227&lt;/number&gt;&lt;dates&gt;&lt;year&gt;2020&lt;/year&gt;&lt;/dates&gt;&lt;publisher&gt;Elsevier&lt;/publisher&gt;&lt;isbn&gt;0140-6736&lt;/isbn&gt;&lt;urls&gt;&lt;related-urls&gt;&lt;url&gt;https://doi.org/10.1016/S0140-6736(20)3042</w:instrText>
      </w:r>
      <w:r>
        <w:instrText>4-4&lt;/url&gt;&lt;/related-urls&gt;&lt;/urls&gt;&lt;electronic-resource-num&gt;10.1016/S0140-6736(20)30424-4&lt;/electronic-resource-num&gt;&lt;access-date&gt;2020/11/15&lt;/access-date&gt;&lt;/record&gt;&lt;/Cite&gt;&lt;/EndNote&gt;</w:instrText>
      </w:r>
      <w:r>
        <w:fldChar w:fldCharType="separate"/>
      </w:r>
      <w:r>
        <w:rPr>
          <w:shd w:val="clear" w:color="auto" w:fill="FFFFFF"/>
          <w:vertAlign w:val="superscript"/>
        </w:rPr>
        <w:t>1</w:t>
      </w:r>
      <w:r>
        <w:fldChar w:fldCharType="end"/>
      </w:r>
      <w:r>
        <w:t xml:space="preserve">   </w:t>
      </w:r>
    </w:p>
    <w:p w:rsidR="003552DE" w:rsidRDefault="00DE001E">
      <w:pPr>
        <w:rPr>
          <w:shd w:val="clear" w:color="auto" w:fill="FFFFFF"/>
        </w:rPr>
      </w:pPr>
      <w:r>
        <w:t xml:space="preserve">The global abortion rate is estimated at </w:t>
      </w:r>
      <w:r>
        <w:rPr>
          <w:shd w:val="clear" w:color="auto" w:fill="FFFFFF"/>
        </w:rPr>
        <w:t xml:space="preserve"> 39  abortions per 1000 women age</w:t>
      </w:r>
      <w:r>
        <w:rPr>
          <w:shd w:val="clear" w:color="auto" w:fill="FFFFFF"/>
        </w:rPr>
        <w:t>d 15–49 years with 61% of unintended pregnancies ending in abortion.</w:t>
      </w: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w:instrText>
      </w:r>
      <w:r>
        <w:rPr>
          <w:shd w:val="clear" w:color="auto" w:fill="FFFFFF"/>
        </w:rPr>
        <w:instrText>&gt;&lt;foreign-keys&gt;&lt;key app="EN" db-id="5v5xpasrytpefpe52xr5a9vvtrww9ts0p9d9" timestamp="1595534521"&gt;1190&lt;/key&gt;&lt;/foreign-keys&gt;&lt;ref-type name="Journal Article"&gt;17&lt;/ref-type&gt;&lt;contributors&gt;&lt;authors&gt;&lt;author&gt;Bearak, Jonathan&lt;/author&gt;&lt;author&gt;Popinchalk, Anna&lt;/author</w:instrText>
      </w:r>
      <w:r>
        <w:rPr>
          <w:shd w:val="clear" w:color="auto" w:fill="FFFFFF"/>
        </w:rPr>
        <w:instrText>&gt;&lt;author&gt;Ganatra, Bela&lt;/author&gt;&lt;author&gt;Moller, Ann-Beth&lt;/author&gt;&lt;author&gt;Tunçalp, Özge&lt;/author&gt;&lt;author&gt;Beavin, Cynthia&lt;/author&gt;&lt;author&gt;Kwok, Lorraine&lt;/author&gt;&lt;author&gt;Alkema, Leontine&lt;/author&gt;&lt;/authors&gt;&lt;/contributors&gt;&lt;titles&gt;&lt;title&gt;Unintended pregnancy and a</w:instrText>
      </w:r>
      <w:r>
        <w:rPr>
          <w:shd w:val="clear" w:color="auto" w:fill="FFFFFF"/>
        </w:rPr>
        <w:instrText>bortion by income, region, and the legal status of abortion: estimates from a comprehensive model for 1990-2019&lt;/title&gt;&lt;secondary-title&gt;The Lancet Global Health&lt;/secondary-title&gt;&lt;/titles&gt;&lt;periodical&gt;&lt;full-title&gt;The Lancet Global Health&lt;/full-title&gt;&lt;/period</w:instrText>
      </w:r>
      <w:r>
        <w:rPr>
          <w:shd w:val="clear" w:color="auto" w:fill="FFFFFF"/>
        </w:rPr>
        <w:instrText>ical&gt;&lt;edition&gt;07/23/2020&lt;/edition&gt;&lt;dates&gt;&lt;year&gt;2020&lt;/year&gt;&lt;pub-dates&gt;&lt;date&gt;07/22/2020&lt;/date&gt;&lt;/pub-dates&gt;&lt;/dates&gt;&lt;publisher&gt;Elsevier&lt;/publisher&gt;&lt;isbn&gt;2214-109X&lt;/isbn&gt;&lt;urls&gt;&lt;related-urls&gt;&lt;url&gt;https://doi.org/10.1016/S2214-109X(20)30315-6&lt;/url&gt;&lt;/related-urls&gt;</w:instrText>
      </w:r>
      <w:r>
        <w:rPr>
          <w:shd w:val="clear" w:color="auto" w:fill="FFFFFF"/>
        </w:rPr>
        <w:instrText>&lt;/urls&gt;&lt;electronic-resource-num&gt;10.1016/S2214-109X(20)30315-6&lt;/electronic-resource-num&gt;&lt;access-date&gt;2020/07/23&lt;/access-date&gt;&lt;/record&gt;&lt;/Cite&gt;&lt;/EndNote&gt;</w:instrText>
      </w:r>
      <w:r>
        <w:rPr>
          <w:shd w:val="clear" w:color="auto" w:fill="FFFFFF"/>
        </w:rPr>
        <w:fldChar w:fldCharType="separate"/>
      </w:r>
      <w:r>
        <w:rPr>
          <w:shd w:val="clear" w:color="auto" w:fill="FFFFFF"/>
          <w:vertAlign w:val="superscript"/>
        </w:rPr>
        <w:t>5</w:t>
      </w:r>
      <w:r>
        <w:rPr>
          <w:shd w:val="clear" w:color="auto" w:fill="FFFFFF"/>
        </w:rPr>
        <w:fldChar w:fldCharType="end"/>
      </w:r>
      <w:r>
        <w:rPr>
          <w:shd w:val="clear" w:color="auto" w:fill="FFFFFF"/>
        </w:rPr>
        <w:t xml:space="preserve"> Legal restriction to abortion does not reduce the incidence of abortion but increases the frequency w</w:t>
      </w:r>
      <w:r>
        <w:rPr>
          <w:shd w:val="clear" w:color="auto" w:fill="FFFFFF"/>
        </w:rPr>
        <w:t>ith which is it provided unsafely, leading to substantial morbidity and mortality [REF</w:t>
      </w:r>
      <w:r>
        <w:rPr>
          <w:shd w:val="clear" w:color="auto" w:fill="FFFFFF"/>
        </w:rPr>
        <w:t xml:space="preserve">].  Even in places where abortion is legal, geographically inequitable provision, stigma and personal circumstances present significant barriers to accessing abortion </w:t>
      </w:r>
      <w:r>
        <w:rPr>
          <w:shd w:val="clear" w:color="auto" w:fill="FFFFFF"/>
        </w:rPr>
        <w:t>[REF</w:t>
      </w:r>
      <w:r>
        <w:rPr>
          <w:shd w:val="clear" w:color="auto" w:fill="FFFFFF"/>
        </w:rPr>
        <w:t xml:space="preserve">].   </w:t>
      </w:r>
    </w:p>
    <w:p w:rsidR="003552DE" w:rsidRDefault="00DE001E">
      <w:pPr>
        <w:rPr>
          <w:shd w:val="clear" w:color="auto" w:fill="FFFFFF"/>
        </w:rPr>
      </w:pPr>
      <w:r>
        <w:rPr>
          <w:shd w:val="clear" w:color="auto" w:fill="FFFFFF"/>
        </w:rPr>
        <w:t>The development of a highly effective, well-tolerated and simple to use medical regimen for abortion has transformed abortion care worldwide. In many countries, use of the anti-progestogen mifepristone with prostaglandin-analogue misoprosto</w:t>
      </w:r>
      <w:r>
        <w:rPr>
          <w:shd w:val="clear" w:color="auto" w:fill="FFFFFF"/>
        </w:rPr>
        <w:t>l is now more commonly used for abortion than surgical evacuation up to 10-12 weeks of pregnancy. Self-management of medical abortion at home has been consistently shown to be safe, effective, and preferable to in-clinic care [REF</w:t>
      </w:r>
      <w:r>
        <w:rPr>
          <w:shd w:val="clear" w:color="auto" w:fill="FFFFFF"/>
        </w:rPr>
        <w:t>].</w:t>
      </w:r>
      <w:r>
        <w:rPr>
          <w:shd w:val="clear" w:color="auto" w:fill="FFFFFF"/>
        </w:rPr>
        <w:t xml:space="preserve"> </w:t>
      </w:r>
      <w:r>
        <w:fldChar w:fldCharType="begin"/>
      </w:r>
      <w:r>
        <w:rPr>
          <w:shd w:val="clear" w:color="auto" w:fill="FFFFFF"/>
        </w:rPr>
        <w:instrText>ADDIN EN.CITE &lt;EndNo</w:instrText>
      </w:r>
      <w:r>
        <w:rPr>
          <w:shd w:val="clear" w:color="auto" w:fill="FFFFFF"/>
        </w:rPr>
        <w:instrText>te&gt;&lt;Cite&gt;&lt;Author&gt;World Health Organization (WHO)&lt;/Author&gt;&lt;Year&gt;2018&lt;/Year&gt;&lt;RecNum&gt;114&lt;/RecNum&gt;&lt;DisplayText&gt;&lt;style face="superscript"&gt;13&lt;/style&gt;&lt;/DisplayText&gt;&lt;record&gt;&lt;rec-number&gt;114&lt;/rec-number&gt;&lt;foreign-keys&gt;&lt;key app="EN" db-id="5v5xpasrytpefpe52xr5a9vvtrww</w:instrText>
      </w:r>
      <w:r>
        <w:rPr>
          <w:shd w:val="clear" w:color="auto" w:fill="FFFFFF"/>
        </w:rPr>
        <w:instrText>9ts0p9d9" timestamp="1591738194"&gt;114&lt;/key&gt;&lt;/foreign-keys&gt;&lt;ref-type name="Report"&gt;27&lt;/ref-type&gt;&lt;contributors&gt;&lt;authors&gt;&lt;author&gt;World Health Organization (WHO), &lt;/author&gt;&lt;/authors&gt;&lt;tertiary-authors&gt;&lt;author&gt;WHO&lt;/author&gt;&lt;/tertiary-authors&gt;&lt;/contributors&gt;&lt;titles</w:instrText>
      </w:r>
      <w:r>
        <w:rPr>
          <w:shd w:val="clear" w:color="auto" w:fill="FFFFFF"/>
        </w:rPr>
        <w:instrText>&gt;&lt;title&gt;Medical management of abortion&lt;/title&gt;&lt;/titles&gt;&lt;dates&gt;&lt;year&gt;2018&lt;/year&gt;&lt;pub-dates&gt;&lt;date&gt;2018&lt;/date&gt;&lt;/pub-dates&gt;&lt;/dates&gt;&lt;pub-location&gt;Geneva&lt;/pub-location&gt;&lt;label&gt;82&lt;/label&gt;&lt;urls&gt;&lt;related-urls&gt;&lt;url&gt;&lt;style face="underline" font="default" size="100%"&gt;w</w:instrText>
      </w:r>
      <w:r>
        <w:rPr>
          <w:shd w:val="clear" w:color="auto" w:fill="FFFFFF"/>
        </w:rPr>
        <w:instrText>ww.who.int/reproductivehealth/publications/medical-management-abortion/en/&lt;/style&gt;&lt;/url&gt;&lt;/related-urls&gt;&lt;/urls&gt;&lt;access-date&gt;3/17/2020&lt;/access-date&gt;&lt;/record&gt;&lt;/Cite&gt;&lt;/EndNote&gt;</w:instrText>
      </w:r>
      <w:r>
        <w:rPr>
          <w:shd w:val="clear" w:color="auto" w:fill="FFFFFF"/>
        </w:rPr>
        <w:fldChar w:fldCharType="separate"/>
      </w:r>
      <w:r>
        <w:rPr>
          <w:shd w:val="clear" w:color="auto" w:fill="FFFFFF"/>
          <w:vertAlign w:val="superscript"/>
        </w:rPr>
        <w:t>13</w:t>
      </w:r>
      <w:r>
        <w:rPr>
          <w:shd w:val="clear" w:color="auto" w:fill="FFFFFF"/>
        </w:rPr>
        <w:fldChar w:fldCharType="end"/>
      </w:r>
      <w:r>
        <w:rPr>
          <w:shd w:val="clear" w:color="auto" w:fill="FFFFFF"/>
        </w:rPr>
        <w:t xml:space="preserve"> </w:t>
      </w:r>
    </w:p>
    <w:p w:rsidR="003552DE" w:rsidRDefault="00DE001E">
      <w:pPr>
        <w:rPr>
          <w:shd w:val="clear" w:color="auto" w:fill="FFFFFF"/>
        </w:rPr>
      </w:pPr>
      <w:r>
        <w:t>Medical abortion provided in part or fully by telemedicine has been studie</w:t>
      </w:r>
      <w:r>
        <w:t>d in recent years as a means of alleviating logistical, personal, and legal barriers to abortion, reducing stigma, and improving clinical outcomes [REF</w:t>
      </w:r>
      <w:r>
        <w:t>]. Models described include ‘d</w:t>
      </w:r>
      <w:r>
        <w:rPr>
          <w:shd w:val="clear" w:color="auto" w:fill="FFFFFF"/>
        </w:rPr>
        <w:t xml:space="preserve">irect-to-clinic’ where a person seeks care locally and </w:t>
      </w:r>
      <w:r>
        <w:rPr>
          <w:shd w:val="clear" w:color="auto" w:fill="FFFFFF"/>
        </w:rPr>
        <w:t>communicates with a provider who is off site via teleconference, ‘direct-to-consumer’ where the interaction between a patient and provider occurs via phone or video link followed by medications delivered by mail, to an entirely online self-sourced option [</w:t>
      </w:r>
      <w:r>
        <w:rPr>
          <w:shd w:val="clear" w:color="auto" w:fill="FFFFFF"/>
        </w:rPr>
        <w:t>REF</w:t>
      </w:r>
      <w:r>
        <w:rPr>
          <w:shd w:val="clear" w:color="auto" w:fill="FFFFFF"/>
        </w:rPr>
        <w:t>]. The routine or selective use of pre-procedure testing, including ultrasound, features variably with these approaches</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14 15</w:t>
      </w:r>
      <w:r>
        <w:rPr>
          <w:shd w:val="clear" w:color="auto" w:fill="FFFFFF"/>
        </w:rPr>
        <w:fldChar w:fldCharType="end"/>
      </w:r>
      <w:r>
        <w:rPr>
          <w:shd w:val="clear" w:color="auto" w:fill="FFFFFF"/>
        </w:rPr>
        <w:t xml:space="preserve">    </w:t>
      </w:r>
      <w:r>
        <w:rPr>
          <w:shd w:val="clear" w:color="auto" w:fill="FFFFFF"/>
        </w:rPr>
        <w:t xml:space="preserve">. </w:t>
      </w:r>
      <w:r>
        <w:t>Using telemedicine to improve access to abortion care was addressed in recent guidan</w:t>
      </w:r>
      <w:r>
        <w:t>ce from the National Institute for Health and Care Excellence (NICE) which produces evidence-based guidance in England.</w:t>
      </w:r>
      <w:r>
        <w:fldChar w:fldCharType="begin"/>
      </w:r>
      <w:r>
        <w:instrText>ADDIN EN.CITE &lt;EndNote&gt;&lt;Cite&gt;&lt;Author&gt;O’Shea&lt;/Author&gt;&lt;Year&gt;2020&lt;/Year&gt;&lt;RecNum&gt;1203&lt;/RecNum&gt;&lt;DisplayText&gt;&lt;style face="superscript"&gt;2&lt;/style</w:instrText>
      </w:r>
      <w:r>
        <w:instrText>&gt;&lt;/DisplayText&gt;&lt;record&gt;&lt;rec-number&gt;1203&lt;/rec-number&gt;&lt;foreign-keys&gt;&lt;key app="EN" db-id="5v5xpasrytpefpe52xr5a9vvtrww9ts0p9d9" timestamp="1595935286"&gt;1203&lt;/key&gt;&lt;/foreign-keys&gt;&lt;ref-type name="Journal Article"&gt;17&lt;/ref-type&gt;&lt;contributors&gt;&lt;authors&gt;&lt;author&gt;O’Shea</w:instrText>
      </w:r>
      <w:r>
        <w:instrText>, Laura E&lt;/author&gt;&lt;author&gt;Hawkins, James E&lt;/author&gt;&lt;author&gt;Lord, Jonathan&lt;/author&gt;&lt;author&gt;Schmidt-Hansen, Mia&lt;/author&gt;&lt;author&gt;Hasler, Elise&lt;/author&gt;&lt;author&gt;Cameron, Sharon&lt;/author&gt;&lt;author&gt;Cameron, Iain T&lt;/author&gt;&lt;/authors&gt;&lt;/contributors&gt;&lt;titles&gt;&lt;title&gt;Acce</w:instrText>
      </w:r>
      <w:r>
        <w:instrText>ss to and sustainability of abortion services: a systematic review and meta-analysis for the National Institute of Health and Care Excellence—new clinical guidelines for England&lt;/title&gt;&lt;secondary-title&gt;Human Reproduction Update&lt;/secondary-title&gt;&lt;/titles&gt;&lt;p</w:instrText>
      </w:r>
      <w:r>
        <w:instrText>eriodical&gt;&lt;full-title&gt;Human Reproduction Update&lt;/full-title&gt;&lt;/periodical&gt;&lt;dates&gt;&lt;year&gt;2020&lt;/year&gt;&lt;/dates&gt;&lt;isbn&gt;1355-4786&lt;/isbn&gt;&lt;urls&gt;&lt;related-urls&gt;&lt;url&gt;https://doi.org/10.1093/humupd/dmaa026&lt;/url&gt;&lt;/related-urls&gt;&lt;/urls&gt;&lt;custom1&gt;dmaa026&lt;/custom1&gt;&lt;electronic-</w:instrText>
      </w:r>
      <w:r>
        <w:instrText>resource-num&gt;10.1093/humupd/dmaa026&lt;/electronic-resource-num&gt;&lt;access-date&gt;7/28/2020&lt;/access-date&gt;&lt;/record&gt;&lt;/Cite&gt;&lt;/EndNote&gt;</w:instrText>
      </w:r>
      <w:r>
        <w:fldChar w:fldCharType="separate"/>
      </w:r>
      <w:r>
        <w:rPr>
          <w:shd w:val="clear" w:color="auto" w:fill="FFFFFF"/>
          <w:vertAlign w:val="superscript"/>
        </w:rPr>
        <w:t>2</w:t>
      </w:r>
      <w:r>
        <w:fldChar w:fldCharType="end"/>
      </w:r>
      <w:r>
        <w:t xml:space="preserve">   They recommended providing pre-abortion assessments by phone or video call</w:t>
      </w:r>
      <w:r>
        <w:fldChar w:fldCharType="begin"/>
      </w:r>
      <w:r>
        <w:instrText>ADDIN EN.CITE &lt;EndNote&gt;&lt;Cite&gt;&lt;Author&gt;National Instit</w:instrText>
      </w:r>
      <w:r>
        <w:instrText>ute for Health and Care Excellence (NICE)&lt;/Author&gt;&lt;Year&gt;2019&lt;/Year&gt;&lt;RecNum&gt;105&lt;/RecNum&gt;&lt;DisplayText&gt;&lt;style face="superscript"&gt;3&lt;/style&gt;&lt;/DisplayText&gt;&lt;record&gt;&lt;rec-number&gt;105&lt;/rec-number&gt;&lt;foreign-keys&gt;&lt;key app="EN" db-id="5v5xpasrytpefpe52xr5a9vvtrww9ts0p9d9</w:instrText>
      </w:r>
      <w:r>
        <w:instrText>" timestamp="1591738194"&gt;105&lt;/key&gt;&lt;/foreign-keys&gt;&lt;ref-type name="Report"&gt;27&lt;/ref-type&gt;&lt;contributors&gt;&lt;authors&gt;&lt;author&gt;National Institute for Health and Care Excellence (NICE), &lt;/author&gt;&lt;/authors&gt;&lt;secondary-authors&gt;&lt;author&gt;National Institute for Health and C</w:instrText>
      </w:r>
      <w:r>
        <w:instrText>are Excellence (NICE), &lt;/author&gt;&lt;/secondary-authors&gt;&lt;tertiary-authors&gt;&lt;author&gt;NICE&lt;/author&gt;&lt;/tertiary-authors&gt;&lt;/contributors&gt;&lt;titles&gt;&lt;title&gt;Abortion Care&lt;/title&gt;&lt;secondary-title&gt;NICE Guideline&lt;/secondary-title&gt;&lt;/titles&gt;&lt;dates&gt;&lt;year&gt;2019&lt;/year&gt;&lt;pub-dates&gt;&lt;d</w:instrText>
      </w:r>
      <w:r>
        <w:instrText>ate&gt;9/25/2019&lt;/date&gt;&lt;/pub-dates&gt;&lt;/dates&gt;&lt;pub-location&gt;London&lt;/pub-location&gt;&lt;isbn&gt;NG140&lt;/isbn&gt;&lt;label&gt;74&lt;/label&gt;&lt;urls&gt;&lt;related-urls&gt;&lt;url&gt;&lt;style face="underline" font="default" size="100%"&gt;www.nice.org.uk/guidance/ng140&lt;/style&gt;&lt;/url&gt;&lt;/related-urls&gt;&lt;/urls&gt;&lt;acc</w:instrText>
      </w:r>
      <w:r>
        <w:instrText>ess-date&gt;11/16/2019&lt;/access-date&gt;&lt;/record&gt;&lt;/Cite&gt;&lt;/EndNote&gt;</w:instrText>
      </w:r>
      <w:r>
        <w:fldChar w:fldCharType="separate"/>
      </w:r>
      <w:r>
        <w:rPr>
          <w:shd w:val="clear" w:color="auto" w:fill="FFFFFF"/>
          <w:vertAlign w:val="superscript"/>
        </w:rPr>
        <w:t>3</w:t>
      </w:r>
      <w:r>
        <w:fldChar w:fldCharType="end"/>
      </w:r>
      <w:r>
        <w:t xml:space="preserve"> noting that telemedicine was likely to improve access overall but especially for vulnerable groups, such as those in deprived areas, poor public transport provision and in rural areas.</w:t>
      </w:r>
      <w:r>
        <w:fldChar w:fldCharType="begin"/>
      </w:r>
      <w:r>
        <w:instrText>ADDIN EN</w:instrText>
      </w:r>
      <w:r>
        <w:instrText>.CITE &lt;EndNote&gt;&lt;Cite&gt;&lt;Author&gt;National Institute for Health and Care Excellence (NICE)&lt;/Author&gt;&lt;Year&gt;2019&lt;/Year&gt;&lt;RecNum&gt;107&lt;/RecNum&gt;&lt;DisplayText&gt;&lt;style face="superscript"&gt;4&lt;/style&gt;&lt;/DisplayText&gt;&lt;record&gt;&lt;rec-number&gt;107&lt;/rec-number&gt;&lt;foreign-keys&gt;&lt;key app="EN"</w:instrText>
      </w:r>
      <w:r>
        <w:instrText xml:space="preserve"> db-id="5v5xpasrytpefpe52xr5a9vvtrww9ts0p9d9" timestamp="1591738194"&gt;107&lt;/key&gt;&lt;/foreign-keys&gt;&lt;ref-type name="Report"&gt;27&lt;/ref-type&gt;&lt;contributors&gt;&lt;authors&gt;&lt;author&gt;National Institute for Health and Care Excellence (NICE), &lt;/author&gt;&lt;/authors&gt;&lt;secondary-authors</w:instrText>
      </w:r>
      <w:r>
        <w:instrText>&gt;&lt;author&gt;National Institute for Health and Care Excellence (NICE), &lt;/author&gt;&lt;/secondary-authors&gt;&lt;tertiary-authors&gt;&lt;author&gt;NICE&lt;/author&gt;&lt;/tertiary-authors&gt;&lt;/contributors&gt;&lt;titles&gt;&lt;title&gt;Abortion care.    Evidence Review A - Accessibility and sustainability o</w:instrText>
      </w:r>
      <w:r>
        <w:instrText>f abortion services&lt;/title&gt;&lt;secondary-title&gt;NICE guideline NG140&lt;/secondary-title&gt;&lt;/titles&gt;&lt;dates&gt;&lt;year&gt;2019&lt;/year&gt;&lt;pub-dates&gt;&lt;date&gt;9/2019&lt;/date&gt;&lt;/pub-dates&gt;&lt;/dates&gt;&lt;pub-location&gt;London&lt;/pub-location&gt;&lt;label&gt;123&lt;/label&gt;&lt;urls&gt;&lt;related-urls&gt;&lt;url&gt;&lt;style face="</w:instrText>
      </w:r>
      <w:r>
        <w:instrText>underline" font="default" size="100%"&gt;www.nice.org.uk/guidance/ng140&lt;/style&gt;&lt;/url&gt;&lt;/related-urls&gt;&lt;/urls&gt;&lt;/record&gt;&lt;/Cite&gt;&lt;/EndNote&gt;</w:instrText>
      </w:r>
      <w:r>
        <w:fldChar w:fldCharType="separate"/>
      </w:r>
      <w:r>
        <w:rPr>
          <w:shd w:val="clear" w:color="auto" w:fill="FFFFFF"/>
          <w:vertAlign w:val="superscript"/>
        </w:rPr>
        <w:t>4</w:t>
      </w:r>
      <w:r>
        <w:fldChar w:fldCharType="end"/>
      </w:r>
      <w:r>
        <w:t xml:space="preserve">   </w:t>
      </w:r>
      <w:r>
        <w:rPr>
          <w:shd w:val="clear" w:color="auto" w:fill="FFFFFF"/>
        </w:rPr>
        <w:t>Improved access to abortion could also result in reduced waiting times, relieving distress for those with an unwanted p</w:t>
      </w:r>
      <w:r>
        <w:rPr>
          <w:shd w:val="clear" w:color="auto" w:fill="FFFFFF"/>
        </w:rPr>
        <w:t>regnancy, and reduce complication rates by reducing gestation at which abortion occurs.</w:t>
      </w:r>
      <w:r>
        <w:fldChar w:fldCharType="begin"/>
      </w:r>
      <w:r>
        <w:rPr>
          <w:shd w:val="clear" w:color="auto" w:fill="FFFFFF"/>
        </w:rPr>
        <w:instrText>ADDIN EN.CITE &lt;EndNote&gt;&lt;Cite&gt;&lt;Author&gt;Royal College of Obstetricians and Gynaecologists (RCOG)&lt;/Author&gt;&lt;Year&gt;2015&lt;/Year&gt;&lt;RecNum&gt;58&lt;/RecNum&gt;&lt;DisplayText&gt;&lt;style face="super</w:instrText>
      </w:r>
      <w:r>
        <w:rPr>
          <w:shd w:val="clear" w:color="auto" w:fill="FFFFFF"/>
        </w:rPr>
        <w:instrText>script"&gt;8&lt;/style&gt;&lt;/DisplayText&gt;&lt;record&gt;&lt;rec-number&gt;58&lt;/rec-number&gt;&lt;foreign-keys&gt;&lt;key app="EN" db-id="5v5xpasrytpefpe52xr5a9vvtrww9ts0p9d9" timestamp="1591738194"&gt;58&lt;/key&gt;&lt;/foreign-keys&gt;&lt;ref-type name="Report"&gt;27&lt;/ref-type&gt;&lt;contributors&gt;&lt;authors&gt;&lt;author&gt;Roy</w:instrText>
      </w:r>
      <w:r>
        <w:rPr>
          <w:shd w:val="clear" w:color="auto" w:fill="FFFFFF"/>
        </w:rPr>
        <w:instrText>al College of Obstetricians and Gynaecologists (RCOG), &lt;/author&gt;&lt;/authors&gt;&lt;secondary-authors&gt;&lt;author&gt;RCOG&lt;/author&gt;&lt;/secondary-authors&gt;&lt;tertiary-authors&gt;&lt;author&gt;Royal College of Obstetricians &amp;amp; Gynaecologists&lt;/author&gt;&lt;/tertiary-authors&gt;&lt;/contributors&gt;&lt;t</w:instrText>
      </w:r>
      <w:r>
        <w:rPr>
          <w:shd w:val="clear" w:color="auto" w:fill="FFFFFF"/>
        </w:rPr>
        <w:instrText>itles&gt;&lt;title&gt;Best practice in  comprehensive abortion care&lt;/title&gt;&lt;secondary-title&gt;Best Practice Paper No. 2&lt;/secondary-title&gt;&lt;/titles&gt;&lt;dates&gt;&lt;year&gt;2015&lt;/year&gt;&lt;pub-dates&gt;&lt;date&gt;6/2015&lt;/date&gt;&lt;/pub-dates&gt;&lt;/dates&gt;&lt;pub-location&gt;London&lt;/pub-location&gt;&lt;label&gt;54&lt;/l</w:instrText>
      </w:r>
      <w:r>
        <w:rPr>
          <w:shd w:val="clear" w:color="auto" w:fill="FFFFFF"/>
        </w:rPr>
        <w:instrText>abel&gt;&lt;urls&gt;&lt;related-urls&gt;&lt;url&gt;&lt;style face="underline" font="default" size="100%"&gt;https://www.rcog.org.uk/globalassets/documents/guidelines/best-practice-papers/best-practice-paper-2.pdf&lt;/style&gt;&lt;/url&gt;&lt;/related-urls&gt;&lt;/urls&gt;&lt;access-date&gt;10/1/2018&lt;/access-date</w:instrText>
      </w:r>
      <w:r>
        <w:rPr>
          <w:shd w:val="clear" w:color="auto" w:fill="FFFFFF"/>
        </w:rPr>
        <w:instrText>&gt;&lt;/record&gt;&lt;/Cite&gt;&lt;/EndNote&gt;</w:instrText>
      </w:r>
      <w:r>
        <w:rPr>
          <w:shd w:val="clear" w:color="auto" w:fill="FFFFFF"/>
        </w:rPr>
        <w:fldChar w:fldCharType="separate"/>
      </w:r>
      <w:r>
        <w:rPr>
          <w:shd w:val="clear" w:color="auto" w:fill="FFFFFF"/>
          <w:vertAlign w:val="superscript"/>
        </w:rPr>
        <w:t>8</w:t>
      </w:r>
      <w:r>
        <w:rPr>
          <w:shd w:val="clear" w:color="auto" w:fill="FFFFFF"/>
        </w:rPr>
        <w:fldChar w:fldCharType="end"/>
      </w:r>
      <w:r>
        <w:rPr>
          <w:shd w:val="clear" w:color="auto" w:fill="FFFFFF"/>
        </w:rPr>
        <w:t xml:space="preserve">   </w:t>
      </w:r>
    </w:p>
    <w:p w:rsidR="003552DE" w:rsidRDefault="00DE001E">
      <w:r>
        <w:rPr>
          <w:shd w:val="clear" w:color="auto" w:fill="FFFFFF"/>
        </w:rPr>
        <w:t xml:space="preserve">The </w:t>
      </w:r>
      <w:r>
        <w:t xml:space="preserve">COVID-19 </w:t>
      </w:r>
      <w:r>
        <w:rPr>
          <w:shd w:val="clear" w:color="auto" w:fill="FFFFFF"/>
        </w:rPr>
        <w:t xml:space="preserve">pandemic has required urgent action to ensure essential health services, including abortion, could be delivered. In March of 2020, the Royal College of Obstetricians and Gynaecologists (RCOG) published joint </w:t>
      </w:r>
      <w:r>
        <w:rPr>
          <w:shd w:val="clear" w:color="auto" w:fill="FFFFFF"/>
        </w:rPr>
        <w:t xml:space="preserve">guidelines with other professional bodies to safeguard the delivery of abortion care in the UK. </w:t>
      </w:r>
      <w:r>
        <w:fldChar w:fldCharType="begin"/>
      </w:r>
      <w:r>
        <w:rPr>
          <w:shd w:val="clear" w:color="auto" w:fill="FFFFFF"/>
        </w:rPr>
        <w:instrText>ADDIN EN.CITE &lt;EndNote&gt;&lt;Cite&gt;&lt;Author&gt;Royal College of Obstetricians and Gynaecologists (RCOG)&lt;/Author&gt;&lt;Year&gt;2020&lt;/Year&gt;&lt;RecNum&gt;123&lt;/RecNum&gt;&lt;DisplayText&gt;&lt;style f</w:instrText>
      </w:r>
      <w:r>
        <w:rPr>
          <w:shd w:val="clear" w:color="auto" w:fill="FFFFFF"/>
        </w:rPr>
        <w:instrText>ace="superscript"&gt;9&lt;/style&gt;&lt;/DisplayText&gt;&lt;record&gt;&lt;rec-number&gt;123&lt;/rec-number&gt;&lt;foreign-keys&gt;&lt;key app="EN" db-id="5v5xpasrytpefpe52xr5a9vvtrww9ts0p9d9" timestamp="1591738194"&gt;123&lt;/key&gt;&lt;/foreign-keys&gt;&lt;ref-type name="Report"&gt;27&lt;/ref-type&gt;&lt;contributors&gt;&lt;authors</w:instrText>
      </w:r>
      <w:r>
        <w:rPr>
          <w:shd w:val="clear" w:color="auto" w:fill="FFFFFF"/>
        </w:rPr>
        <w:instrText>&gt;&lt;author&gt;Royal College of Obstetricians and Gynaecologists (RCOG), &lt;/author&gt;&lt;author&gt;Royal College of Midwives (RCM), &lt;/author&gt;&lt;author&gt;Faculty of Sexual &amp;amp; Reproductive Healthcare (FSRH), &lt;/author&gt;&lt;author&gt;British Society of Abortion Care Providers (BSACP</w:instrText>
      </w:r>
      <w:r>
        <w:rPr>
          <w:shd w:val="clear" w:color="auto" w:fill="FFFFFF"/>
        </w:rPr>
        <w:instrText>), &lt;/author&gt;&lt;/authors&gt;&lt;secondary-authors&gt;&lt;author&gt;RCOG&lt;/author&gt;&lt;/secondary-authors&gt;&lt;tertiary-authors&gt;&lt;author&gt;RCOG&lt;/author&gt;&lt;/tertiary-authors&gt;&lt;/contributors&gt;&lt;titles&gt;&lt;title&gt;Coronavirus (COVID-19) infection and abortion care&lt;/title&gt;&lt;/titles&gt;&lt;dates&gt;&lt;year&gt;2020&lt;/</w:instrText>
      </w:r>
      <w:r>
        <w:rPr>
          <w:shd w:val="clear" w:color="auto" w:fill="FFFFFF"/>
        </w:rPr>
        <w:instrText>year&gt;&lt;pub-dates&gt;&lt;date&gt;31/07/2020&lt;/date&gt;&lt;/pub-dates&gt;&lt;/dates&gt;&lt;pub-location&gt;London, UK&lt;/pub-location&gt;&lt;publisher&gt;Royal College of Obstetricians and Gynaecologists&lt;/publisher&gt;&lt;urls&gt;&lt;related-urls&gt;&lt;url&gt;https://www.rcog.org.uk/globalassets/documents/guidelines/202</w:instrText>
      </w:r>
      <w:r>
        <w:rPr>
          <w:shd w:val="clear" w:color="auto" w:fill="FFFFFF"/>
        </w:rPr>
        <w:instrText>0-07-31-coronavirus-covid-19-infection-and-abortion-care.pdf&lt;/url&gt;&lt;/related-urls&gt;&lt;/urls&gt;&lt;/record&gt;&lt;/Cite&gt;&lt;/EndNote&gt;</w:instrText>
      </w:r>
      <w:r>
        <w:rPr>
          <w:shd w:val="clear" w:color="auto" w:fill="FFFFFF"/>
        </w:rPr>
        <w:fldChar w:fldCharType="separate"/>
      </w:r>
      <w:r>
        <w:rPr>
          <w:shd w:val="clear" w:color="auto" w:fill="FFFFFF"/>
          <w:vertAlign w:val="superscript"/>
        </w:rPr>
        <w:t>9</w:t>
      </w:r>
      <w:r>
        <w:rPr>
          <w:shd w:val="clear" w:color="auto" w:fill="FFFFFF"/>
        </w:rPr>
        <w:fldChar w:fldCharType="end"/>
      </w:r>
      <w:r>
        <w:t xml:space="preserve"> </w:t>
      </w:r>
      <w:r>
        <w:rPr>
          <w:shd w:val="clear" w:color="auto" w:fill="FFFFFF"/>
        </w:rPr>
        <w:t xml:space="preserve"> It endorsed telephone consultation, the use of ultrasound only when indicated (e.g., inability to determine gestational age reliably by </w:t>
      </w:r>
      <w:r>
        <w:rPr>
          <w:shd w:val="clear" w:color="auto" w:fill="FFFFFF"/>
        </w:rPr>
        <w:t xml:space="preserve">last menstrual period), and minimal contact in-person visits to take mifepristone followed by misoprostol use at home. The governments within Great Britain then issued emergency legal orders permitting home use of </w:t>
      </w:r>
      <w:r>
        <w:t xml:space="preserve">both </w:t>
      </w:r>
      <w:r>
        <w:rPr>
          <w:shd w:val="clear" w:color="auto" w:fill="FFFFFF"/>
        </w:rPr>
        <w:t>mifepristone and misoprostol effectiv</w:t>
      </w:r>
      <w:r>
        <w:rPr>
          <w:shd w:val="clear" w:color="auto" w:fill="FFFFFF"/>
        </w:rPr>
        <w:t>e from 30</w:t>
      </w:r>
      <w:r>
        <w:rPr>
          <w:shd w:val="clear" w:color="auto" w:fill="FFFFFF"/>
          <w:vertAlign w:val="superscript"/>
        </w:rPr>
        <w:t>th</w:t>
      </w:r>
      <w:r>
        <w:rPr>
          <w:shd w:val="clear" w:color="auto" w:fill="FFFFFF"/>
        </w:rPr>
        <w:t xml:space="preserve"> March 2020, permitting abortion providers to implement full telemedicine pathways shortly afterwards.</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10-12</w:t>
      </w:r>
      <w:r>
        <w:rPr>
          <w:shd w:val="clear" w:color="auto" w:fill="FFFFFF"/>
        </w:rPr>
        <w:fldChar w:fldCharType="end"/>
      </w:r>
      <w:r>
        <w:rPr>
          <w:shd w:val="clear" w:color="auto" w:fill="FFFFFF"/>
        </w:rPr>
        <w:t xml:space="preserve">   </w:t>
      </w:r>
    </w:p>
    <w:p w:rsidR="003552DE" w:rsidRDefault="00DE001E">
      <w:pPr>
        <w:rPr>
          <w:shd w:val="clear" w:color="auto" w:fill="FFFFFF"/>
        </w:rPr>
      </w:pPr>
      <w:r>
        <w:rPr>
          <w:shd w:val="clear" w:color="auto" w:fill="FFFFFF"/>
        </w:rPr>
        <w:t>In England and Wales, 74% of abortions are carried out by independent sector providers operating u</w:t>
      </w:r>
      <w:r>
        <w:rPr>
          <w:shd w:val="clear" w:color="auto" w:fill="FFFFFF"/>
        </w:rPr>
        <w:t>nder contract to the National Health Service.</w:t>
      </w:r>
      <w:r>
        <w:fldChar w:fldCharType="begin"/>
      </w:r>
      <w:r>
        <w:rPr>
          <w:shd w:val="clear" w:color="auto" w:fill="FFFFFF"/>
        </w:rPr>
        <w:instrText>ADDIN EN.CITE &lt;EndNote&gt;&lt;Cite&gt;&lt;Author&gt;Department of Health &amp;amp; Social Care (DHSC)&lt;/Author&gt;&lt;Year&gt;2020&lt;/Year&gt;&lt;RecNum&gt;1235&lt;/RecNum&gt;&lt;DisplayText&gt;&lt;style face="superscript"&gt;16&lt;/style&gt;&lt;/DisplayText&gt;&lt;record&gt;&lt;rec-number</w:instrText>
      </w:r>
      <w:r>
        <w:rPr>
          <w:shd w:val="clear" w:color="auto" w:fill="FFFFFF"/>
        </w:rPr>
        <w:instrText>&gt;1235&lt;/rec-number&gt;&lt;foreign-keys&gt;&lt;key app="EN" db-id="5v5xpasrytpefpe52xr5a9vvtrww9ts0p9d9" timestamp="1598044399"&gt;1235&lt;/key&gt;&lt;/foreign-keys&gt;&lt;ref-type name="Report"&gt;27&lt;/ref-type&gt;&lt;contributors&gt;&lt;authors&gt;&lt;author&gt;Department of Health &amp;amp; Social Care (DHSC), &lt;/</w:instrText>
      </w:r>
      <w:r>
        <w:rPr>
          <w:shd w:val="clear" w:color="auto" w:fill="FFFFFF"/>
        </w:rPr>
        <w:instrText>author&gt;&lt;/authors&gt;&lt;tertiary-authors&gt;&lt;author&gt;Department of Health &amp;amp; Social Care (DHSC), &lt;/author&gt;&lt;/tertiary-authors&gt;&lt;/contributors&gt;&lt;titles&gt;&lt;title&gt;Abortion Statistics, England and Wales: 2019.    Summary information from the abortion notification forms re</w:instrText>
      </w:r>
      <w:r>
        <w:rPr>
          <w:shd w:val="clear" w:color="auto" w:fill="FFFFFF"/>
        </w:rPr>
        <w:instrText>turned to the Chief Medical Officers of England and Wales. January to December 2019.&lt;/title&gt;&lt;/titles&gt;&lt;dates&gt;&lt;year&gt;2020&lt;/year&gt;&lt;pub-dates&gt;&lt;date&gt;06/11/2020&lt;/date&gt;&lt;/pub-dates&gt;&lt;/dates&gt;&lt;pub-location&gt;London&lt;/pub-location&gt;&lt;urls&gt;&lt;related-urls&gt;&lt;url&gt;https://assets.pu</w:instrText>
      </w:r>
      <w:r>
        <w:rPr>
          <w:shd w:val="clear" w:color="auto" w:fill="FFFFFF"/>
        </w:rPr>
        <w:instrText>blishing.service.gov.uk/government/uploads/system/uploads/attachment_data/file/891405/abortion-statistics-commentary-2019.pdf&lt;/url&gt;&lt;/related-urls&gt;&lt;/urls&gt;&lt;/record&gt;&lt;/Cite&gt;&lt;/EndNote&gt;</w:instrText>
      </w:r>
      <w:r>
        <w:rPr>
          <w:shd w:val="clear" w:color="auto" w:fill="FFFFFF"/>
        </w:rPr>
        <w:fldChar w:fldCharType="separate"/>
      </w:r>
      <w:r>
        <w:rPr>
          <w:shd w:val="clear" w:color="auto" w:fill="FFFFFF"/>
          <w:vertAlign w:val="superscript"/>
        </w:rPr>
        <w:t>16</w:t>
      </w:r>
      <w:r>
        <w:rPr>
          <w:shd w:val="clear" w:color="auto" w:fill="FFFFFF"/>
        </w:rPr>
        <w:fldChar w:fldCharType="end"/>
      </w:r>
      <w:r>
        <w:rPr>
          <w:shd w:val="clear" w:color="auto" w:fill="FFFFFF"/>
        </w:rPr>
        <w:t xml:space="preserve"> This study represents a collaboration between the three main providers </w:t>
      </w:r>
      <w:r>
        <w:rPr>
          <w:shd w:val="clear" w:color="auto" w:fill="FFFFFF"/>
        </w:rPr>
        <w:t xml:space="preserve">to examine the safety, effectiveness and acceptability of medical abortion </w:t>
      </w:r>
      <w:r>
        <w:rPr>
          <w:shd w:val="clear" w:color="auto" w:fill="FFFFFF"/>
        </w:rPr>
        <w:lastRenderedPageBreak/>
        <w:t>provided before and after the legal authorisations that permitted implementation of a fully telemedical model at a national population level. We compared outcomes with the in-person</w:t>
      </w:r>
      <w:r>
        <w:rPr>
          <w:shd w:val="clear" w:color="auto" w:fill="FFFFFF"/>
        </w:rPr>
        <w:t xml:space="preserve"> model that was standard of care before COVID-19 emerged to those after telemedicine was permitted. We then compared outcomes between medical abortion delivered via a fully telemedical model to in-person care in the post-period. </w:t>
      </w:r>
    </w:p>
    <w:p w:rsidR="003552DE" w:rsidRDefault="003552DE">
      <w:pPr>
        <w:rPr>
          <w:shd w:val="clear" w:color="auto" w:fill="FFFFFF"/>
        </w:rPr>
      </w:pPr>
    </w:p>
    <w:p w:rsidR="003552DE" w:rsidRPr="002514E5" w:rsidRDefault="00DE001E">
      <w:pPr>
        <w:rPr>
          <w:shd w:val="clear" w:color="auto" w:fill="FFFFFF"/>
        </w:rPr>
      </w:pPr>
      <w:r>
        <w:fldChar w:fldCharType="begin"/>
      </w:r>
      <w:r>
        <w:rPr>
          <w:shd w:val="clear" w:color="auto" w:fill="FFFFFF"/>
        </w:rPr>
        <w:instrText xml:space="preserve">ADDIN </w:instrText>
      </w:r>
      <w:r>
        <w:rPr>
          <w:shd w:val="clear" w:color="auto" w:fill="FFFFFF"/>
        </w:rPr>
        <w:instrText xml:space="preserve">EN.CITE &lt;EndNote&gt;&lt;Cite&gt;&lt;Author&gt;Bearak&lt;/Author&gt;&lt;Year&gt;2020&lt;/Year&gt;&lt;RecNum&gt;1190&lt;/RecNum&gt;&lt;DisplayText&gt;&lt;style face="superscript"&gt;5&lt;/style&gt;&lt;/DisplayText&gt;&lt;record&gt;&lt;rec-number&gt;1190&lt;/rec-number&gt;&lt;foreign-keys&gt;&lt;key app="EN" db-id="5v5xpasrytpefpe52xr5a9vvtrww9ts0p9d9" </w:instrText>
      </w:r>
      <w:r>
        <w:rPr>
          <w:shd w:val="clear" w:color="auto" w:fill="FFFFFF"/>
        </w:rPr>
        <w:instrText>timestamp="1595534521"&gt;1190&lt;/key&gt;&lt;/foreign-keys&gt;&lt;ref-type name="Journal Article"&gt;17&lt;/ref-type&gt;&lt;contributors&gt;&lt;authors&gt;&lt;author&gt;Bearak, Jonathan&lt;/author&gt;&lt;author&gt;Popinchalk, Anna&lt;/author&gt;&lt;author&gt;Ganatra, Bela&lt;/author&gt;&lt;author&gt;Moller, Ann-Beth&lt;/author&gt;&lt;author&gt;Tu</w:instrText>
      </w:r>
      <w:r>
        <w:rPr>
          <w:shd w:val="clear" w:color="auto" w:fill="FFFFFF"/>
        </w:rPr>
        <w:instrText>nçalp, Özge&lt;/author&gt;&lt;author&gt;Beavin, Cynthia&lt;/author&gt;&lt;author&gt;Kwok, Lorraine&lt;/author&gt;&lt;author&gt;Alkema, Leontine&lt;/author&gt;&lt;/authors&gt;&lt;/contributors&gt;&lt;titles&gt;&lt;title&gt;Unintended pregnancy and abortion by income, region, and the legal status of abortion: estimates fro</w:instrText>
      </w:r>
      <w:r>
        <w:rPr>
          <w:shd w:val="clear" w:color="auto" w:fill="FFFFFF"/>
        </w:rPr>
        <w:instrText>m a comprehensive model for 1990-2019&lt;/title&gt;&lt;secondary-title&gt;The Lancet Global Health&lt;/secondary-title&gt;&lt;/titles&gt;&lt;periodical&gt;&lt;full-title&gt;The Lancet Global Health&lt;/full-title&gt;&lt;/periodical&gt;&lt;edition&gt;07/23/2020&lt;/edition&gt;&lt;dates&gt;&lt;year&gt;2020&lt;/year&gt;&lt;pub-dates&gt;&lt;date</w:instrText>
      </w:r>
      <w:r>
        <w:rPr>
          <w:shd w:val="clear" w:color="auto" w:fill="FFFFFF"/>
        </w:rPr>
        <w:instrText>&gt;07/22/2020&lt;/date&gt;&lt;/pub-dates&gt;&lt;/dates&gt;&lt;publisher&gt;Elsevier&lt;/publisher&gt;&lt;isbn&gt;2214-109X&lt;/isbn&gt;&lt;urls&gt;&lt;related-urls&gt;&lt;url&gt;https://doi.org/10.1016/S2214-109X(20)30315-6&lt;/url&gt;&lt;/related-urls&gt;&lt;/urls&gt;&lt;electronic-resource-num&gt;10.1016/S2214-109X(20)30315-6&lt;/electronic-</w:instrText>
      </w:r>
      <w:r>
        <w:rPr>
          <w:shd w:val="clear" w:color="auto" w:fill="FFFFFF"/>
        </w:rPr>
        <w:instrText>resource-num&gt;&lt;access-date&gt;2020/07/23&lt;/access-date&gt;&lt;/record&gt;&lt;/Cite&gt;&lt;/EndNote&gt;</w:instrText>
      </w:r>
      <w:r>
        <w:rPr>
          <w:shd w:val="clear" w:color="auto" w:fill="FFFFFF"/>
        </w:rPr>
        <w:fldChar w:fldCharType="separate"/>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w:instrText>
      </w:r>
      <w:r>
        <w:rPr>
          <w:shd w:val="clear" w:color="auto" w:fill="FFFFFF"/>
        </w:rPr>
        <w:instrText>t"&gt;8&lt;/style&gt;&lt;/DisplayText&gt;&lt;record&gt;&lt;rec-number&gt;58&lt;/rec-number&gt;&lt;foreign-keys&gt;&lt;key app="EN" db-id="5v5xpasrytpefpe52xr5a9vvtrww9ts0p9d9" timestamp="1591738194"&gt;58&lt;/key&gt;&lt;/foreign-keys&gt;&lt;ref-type name="Report"&gt;27&lt;/ref-type&gt;&lt;contributors&gt;&lt;authors&gt;&lt;author&gt;Royal Co</w:instrText>
      </w:r>
      <w:r>
        <w:rPr>
          <w:shd w:val="clear" w:color="auto" w:fill="FFFFFF"/>
        </w:rPr>
        <w:instrText>llege of Obstetricians and Gynaecologists (RCOG), &lt;/author&gt;&lt;/authors&gt;&lt;secondary-authors&gt;&lt;author&gt;RCOG&lt;/author&gt;&lt;/secondary-authors&gt;&lt;tertiary-authors&gt;&lt;author&gt;Royal College of Obstetricians &amp;amp; Gynaecologists&lt;/author&gt;&lt;/tertiary-authors&gt;&lt;/contributors&gt;&lt;titles</w:instrText>
      </w:r>
      <w:r>
        <w:rPr>
          <w:shd w:val="clear" w:color="auto" w:fill="FFFFFF"/>
        </w:rPr>
        <w:instrText>&gt;&lt;title&gt;Best practice in  comprehensive abortion care&lt;/title&gt;&lt;secondary-title&gt;Best Practice Paper No. 2&lt;/secondary-title&gt;&lt;/titles&gt;&lt;dates&gt;&lt;year&gt;2015&lt;/year&gt;&lt;pub-dates&gt;&lt;date&gt;6/2015&lt;/date&gt;&lt;/pub-dates&gt;&lt;/dates&gt;&lt;pub-location&gt;London&lt;/pub-location&gt;&lt;label&gt;54&lt;/label&gt;</w:instrText>
      </w:r>
      <w:r>
        <w:rPr>
          <w:shd w:val="clear" w:color="auto" w:fill="FFFFFF"/>
        </w:rPr>
        <w:instrText>&lt;urls&gt;&lt;related-urls&gt;&lt;url&gt;&lt;style face="underline" font="default" size="100%"&gt;https://www.rcog.org.uk/globalassets/documents/guidelines/best-practice-papers/best-practice-paper-2.pdf&lt;/style&gt;&lt;/url&gt;&lt;/related-urls&gt;&lt;/urls&gt;&lt;access-date&gt;10/1/2018&lt;/access-date&gt;&lt;/re</w:instrText>
      </w:r>
      <w:r>
        <w:rPr>
          <w:shd w:val="clear" w:color="auto" w:fill="FFFFFF"/>
        </w:rPr>
        <w:instrText>cord&gt;&lt;/Cite&gt;&lt;/EndNote&gt;</w:instrText>
      </w:r>
      <w:r>
        <w:rPr>
          <w:shd w:val="clear" w:color="auto" w:fill="FFFFFF"/>
        </w:rPr>
        <w:fldChar w:fldCharType="separate"/>
      </w:r>
      <w:r>
        <w:rPr>
          <w:shd w:val="clear" w:color="auto" w:fill="FFFFFF"/>
        </w:rPr>
        <w:fldChar w:fldCharType="end"/>
      </w:r>
      <w:bookmarkStart w:id="0" w:name="_GoBack"/>
      <w:bookmarkEnd w:id="0"/>
      <w:r>
        <w:rPr>
          <w:b/>
          <w:sz w:val="28"/>
          <w:szCs w:val="28"/>
        </w:rPr>
        <w:t>Methods</w:t>
      </w:r>
    </w:p>
    <w:p w:rsidR="003552DE" w:rsidRDefault="00DE001E">
      <w:pPr>
        <w:rPr>
          <w:b/>
          <w:shd w:val="clear" w:color="auto" w:fill="FFFFFF"/>
        </w:rPr>
      </w:pPr>
      <w:r>
        <w:rPr>
          <w:b/>
          <w:shd w:val="clear" w:color="auto" w:fill="FFFFFF"/>
        </w:rPr>
        <w:t>Cohorts and Definitions</w:t>
      </w:r>
    </w:p>
    <w:p w:rsidR="003552DE" w:rsidRDefault="00DE001E">
      <w:pPr>
        <w:rPr>
          <w:shd w:val="clear" w:color="auto" w:fill="FFFFFF"/>
        </w:rPr>
      </w:pPr>
      <w:r>
        <w:rPr>
          <w:shd w:val="clear" w:color="auto" w:fill="FFFFFF"/>
        </w:rPr>
        <w:t xml:space="preserve">We </w:t>
      </w:r>
      <w:r>
        <w:rPr>
          <w:shd w:val="clear" w:color="auto" w:fill="FFFFFF"/>
        </w:rPr>
        <w:t>used data on</w:t>
      </w:r>
      <w:r>
        <w:rPr>
          <w:shd w:val="clear" w:color="auto" w:fill="FFFFFF"/>
        </w:rPr>
        <w:t xml:space="preserve"> </w:t>
      </w:r>
      <w:r>
        <w:rPr>
          <w:shd w:val="clear" w:color="auto" w:fill="FFFFFF"/>
        </w:rPr>
        <w:t xml:space="preserve">consultations and </w:t>
      </w:r>
      <w:r>
        <w:rPr>
          <w:shd w:val="clear" w:color="auto" w:fill="FFFFFF"/>
        </w:rPr>
        <w:t>medical abortions provided up to 10 weeks’ gestation by</w:t>
      </w:r>
      <w:r>
        <w:rPr>
          <w:shd w:val="clear" w:color="auto" w:fill="FFFFFF"/>
        </w:rPr>
        <w:t xml:space="preserve"> British Pregnancy Advisory Service</w:t>
      </w:r>
      <w:r>
        <w:rPr>
          <w:shd w:val="clear" w:color="auto" w:fill="FFFFFF"/>
        </w:rPr>
        <w:t xml:space="preserve"> (BPAS)</w:t>
      </w:r>
      <w:r>
        <w:rPr>
          <w:shd w:val="clear" w:color="auto" w:fill="FFFFFF"/>
        </w:rPr>
        <w:t>,</w:t>
      </w:r>
      <w:r>
        <w:rPr>
          <w:shd w:val="clear" w:color="auto" w:fill="FFFFFF"/>
        </w:rPr>
        <w:t xml:space="preserve"> MSI Reproductive Choices (MS</w:t>
      </w:r>
      <w:r>
        <w:rPr>
          <w:shd w:val="clear" w:color="auto" w:fill="FFFFFF"/>
        </w:rPr>
        <w:t>UK</w:t>
      </w:r>
      <w:r>
        <w:rPr>
          <w:shd w:val="clear" w:color="auto" w:fill="FFFFFF"/>
        </w:rPr>
        <w:t xml:space="preserve">), and the National Unplanned Pregnancy Advisory </w:t>
      </w:r>
      <w:r>
        <w:rPr>
          <w:shd w:val="clear" w:color="auto" w:fill="FFFFFF"/>
        </w:rPr>
        <w:t>Service (NUPAS)</w:t>
      </w:r>
      <w:r>
        <w:rPr>
          <w:shd w:val="clear" w:color="auto" w:fill="FFFFFF"/>
        </w:rPr>
        <w:t xml:space="preserve">. </w:t>
      </w:r>
    </w:p>
    <w:p w:rsidR="003552DE" w:rsidRDefault="00DE001E">
      <w:pPr>
        <w:rPr>
          <w:shd w:val="clear" w:color="auto" w:fill="FFFFFF"/>
        </w:rPr>
      </w:pPr>
      <w:r>
        <w:rPr>
          <w:shd w:val="clear" w:color="auto" w:fill="FFFFFF"/>
        </w:rPr>
        <w:t xml:space="preserve">For the analysis of </w:t>
      </w:r>
      <w:r>
        <w:rPr>
          <w:shd w:val="clear" w:color="auto" w:fill="FFFFFF"/>
        </w:rPr>
        <w:t>clinical and demographic characteristics and</w:t>
      </w:r>
      <w:r>
        <w:rPr>
          <w:shd w:val="clear" w:color="auto" w:fill="FFFFFF"/>
        </w:rPr>
        <w:t xml:space="preserve"> outcomes, </w:t>
      </w:r>
      <w:r>
        <w:rPr>
          <w:shd w:val="clear" w:color="auto" w:fill="FFFFFF"/>
        </w:rPr>
        <w:t xml:space="preserve">the </w:t>
      </w:r>
      <w:r>
        <w:rPr>
          <w:shd w:val="clear" w:color="auto" w:fill="FFFFFF"/>
        </w:rPr>
        <w:t>c</w:t>
      </w:r>
      <w:r>
        <w:rPr>
          <w:shd w:val="clear" w:color="auto" w:fill="FFFFFF"/>
        </w:rPr>
        <w:t xml:space="preserve">ohorts </w:t>
      </w:r>
      <w:r>
        <w:rPr>
          <w:shd w:val="clear" w:color="auto" w:fill="FFFFFF"/>
        </w:rPr>
        <w:t>and tim</w:t>
      </w:r>
      <w:r>
        <w:rPr>
          <w:shd w:val="clear" w:color="auto" w:fill="FFFFFF"/>
        </w:rPr>
        <w:t>e</w:t>
      </w:r>
      <w:r>
        <w:rPr>
          <w:shd w:val="clear" w:color="auto" w:fill="FFFFFF"/>
        </w:rPr>
        <w:t xml:space="preserve">frames were: </w:t>
      </w:r>
      <w:r>
        <w:rPr>
          <w:shd w:val="clear" w:color="auto" w:fill="FFFFFF"/>
        </w:rPr>
        <w:t>‘</w:t>
      </w:r>
      <w:r>
        <w:rPr>
          <w:shd w:val="clear" w:color="auto" w:fill="FFFFFF"/>
        </w:rPr>
        <w:t>p</w:t>
      </w:r>
      <w:r>
        <w:rPr>
          <w:shd w:val="clear" w:color="auto" w:fill="FFFFFF"/>
        </w:rPr>
        <w:t>re-telemedicine’</w:t>
      </w:r>
      <w:r>
        <w:rPr>
          <w:shd w:val="clear" w:color="auto" w:fill="FFFFFF"/>
        </w:rPr>
        <w:t xml:space="preserve"> </w:t>
      </w:r>
      <w:r>
        <w:rPr>
          <w:shd w:val="clear" w:color="auto" w:fill="FFFFFF"/>
        </w:rPr>
        <w:t>consisting of</w:t>
      </w:r>
      <w:r>
        <w:rPr>
          <w:shd w:val="clear" w:color="auto" w:fill="FFFFFF"/>
        </w:rPr>
        <w:t xml:space="preserve"> medical abortion</w:t>
      </w:r>
      <w:r>
        <w:rPr>
          <w:shd w:val="clear" w:color="auto" w:fill="FFFFFF"/>
        </w:rPr>
        <w:t>s</w:t>
      </w:r>
      <w:r>
        <w:rPr>
          <w:shd w:val="clear" w:color="auto" w:fill="FFFFFF"/>
        </w:rPr>
        <w:t xml:space="preserve"> accessed</w:t>
      </w:r>
      <w:r>
        <w:rPr>
          <w:shd w:val="clear" w:color="auto" w:fill="FFFFFF"/>
        </w:rPr>
        <w:t xml:space="preserve"> </w:t>
      </w:r>
      <w:r>
        <w:rPr>
          <w:shd w:val="clear" w:color="auto" w:fill="FFFFFF"/>
        </w:rPr>
        <w:t xml:space="preserve">in person </w:t>
      </w:r>
      <w:r>
        <w:rPr>
          <w:shd w:val="clear" w:color="auto" w:fill="FFFFFF"/>
        </w:rPr>
        <w:t xml:space="preserve">from </w:t>
      </w:r>
      <w:r>
        <w:rPr>
          <w:shd w:val="clear" w:color="auto" w:fill="FFFFFF"/>
        </w:rPr>
        <w:t>January</w:t>
      </w:r>
      <w:r>
        <w:rPr>
          <w:shd w:val="clear" w:color="auto" w:fill="FFFFFF"/>
        </w:rPr>
        <w:t xml:space="preserve">-March 2020 </w:t>
      </w:r>
      <w:r>
        <w:rPr>
          <w:shd w:val="clear" w:color="auto" w:fill="FFFFFF"/>
        </w:rPr>
        <w:t>and ‘</w:t>
      </w:r>
      <w:r>
        <w:rPr>
          <w:shd w:val="clear" w:color="auto" w:fill="FFFFFF"/>
        </w:rPr>
        <w:t>p</w:t>
      </w:r>
      <w:r>
        <w:rPr>
          <w:shd w:val="clear" w:color="auto" w:fill="FFFFFF"/>
        </w:rPr>
        <w:t xml:space="preserve">ost-telemedicine’ </w:t>
      </w:r>
      <w:r>
        <w:rPr>
          <w:shd w:val="clear" w:color="auto" w:fill="FFFFFF"/>
        </w:rPr>
        <w:t xml:space="preserve">consisting of </w:t>
      </w:r>
      <w:r>
        <w:rPr>
          <w:shd w:val="clear" w:color="auto" w:fill="FFFFFF"/>
        </w:rPr>
        <w:t>medical abortions accessed</w:t>
      </w:r>
      <w:r>
        <w:rPr>
          <w:shd w:val="clear" w:color="auto" w:fill="FFFFFF"/>
        </w:rPr>
        <w:t xml:space="preserve"> in person or via</w:t>
      </w:r>
      <w:r>
        <w:rPr>
          <w:shd w:val="clear" w:color="auto" w:fill="FFFFFF"/>
        </w:rPr>
        <w:t xml:space="preserve"> telemedicine</w:t>
      </w:r>
      <w:r>
        <w:rPr>
          <w:shd w:val="clear" w:color="auto" w:fill="FFFFFF"/>
        </w:rPr>
        <w:t xml:space="preserve"> </w:t>
      </w:r>
      <w:r>
        <w:rPr>
          <w:shd w:val="clear" w:color="auto" w:fill="FFFFFF"/>
        </w:rPr>
        <w:t xml:space="preserve">from April-June 2020. </w:t>
      </w:r>
      <w:r>
        <w:rPr>
          <w:shd w:val="clear" w:color="auto" w:fill="FFFFFF"/>
        </w:rPr>
        <w:t xml:space="preserve">For the analysis of ectopic pregnancies, </w:t>
      </w:r>
      <w:r>
        <w:rPr>
          <w:shd w:val="clear" w:color="auto" w:fill="FFFFFF"/>
        </w:rPr>
        <w:t xml:space="preserve">we applied the same timeframes </w:t>
      </w:r>
      <w:r>
        <w:rPr>
          <w:shd w:val="clear" w:color="auto" w:fill="FFFFFF"/>
        </w:rPr>
        <w:t>to</w:t>
      </w:r>
      <w:r>
        <w:rPr>
          <w:shd w:val="clear" w:color="auto" w:fill="FFFFFF"/>
        </w:rPr>
        <w:t xml:space="preserve"> </w:t>
      </w:r>
      <w:r>
        <w:rPr>
          <w:shd w:val="clear" w:color="auto" w:fill="FFFFFF"/>
        </w:rPr>
        <w:t xml:space="preserve">all </w:t>
      </w:r>
      <w:r>
        <w:rPr>
          <w:shd w:val="clear" w:color="auto" w:fill="FFFFFF"/>
        </w:rPr>
        <w:t>consultations</w:t>
      </w:r>
      <w:r>
        <w:rPr>
          <w:shd w:val="clear" w:color="auto" w:fill="FFFFFF"/>
        </w:rPr>
        <w:t xml:space="preserve"> for abortion</w:t>
      </w:r>
      <w:r>
        <w:rPr>
          <w:shd w:val="clear" w:color="auto" w:fill="FFFFFF"/>
        </w:rPr>
        <w:t xml:space="preserve"> because some clients </w:t>
      </w:r>
      <w:r>
        <w:rPr>
          <w:shd w:val="clear" w:color="auto" w:fill="FFFFFF"/>
        </w:rPr>
        <w:t xml:space="preserve">referred to an </w:t>
      </w:r>
      <w:r>
        <w:rPr>
          <w:shd w:val="clear" w:color="auto" w:fill="FFFFFF"/>
        </w:rPr>
        <w:t>Early Pregnancy Assessment Unit (EPAU)</w:t>
      </w:r>
      <w:r>
        <w:rPr>
          <w:shd w:val="clear" w:color="auto" w:fill="FFFFFF"/>
        </w:rPr>
        <w:t xml:space="preserve"> after a consultation will not proceed to an abortion</w:t>
      </w:r>
      <w:r>
        <w:rPr>
          <w:shd w:val="clear" w:color="auto" w:fill="FFFFFF"/>
        </w:rPr>
        <w:t>.</w:t>
      </w:r>
    </w:p>
    <w:p w:rsidR="003552DE" w:rsidRDefault="00DE001E">
      <w:pPr>
        <w:rPr>
          <w:shd w:val="clear" w:color="auto" w:fill="FFFFFF"/>
        </w:rPr>
      </w:pPr>
      <w:r>
        <w:rPr>
          <w:shd w:val="clear" w:color="auto" w:fill="FFFFFF"/>
        </w:rPr>
        <w:t xml:space="preserve">We defined telemedicine </w:t>
      </w:r>
      <w:r>
        <w:rPr>
          <w:shd w:val="clear" w:color="auto" w:fill="FFFFFF"/>
        </w:rPr>
        <w:t xml:space="preserve">as provision of medications for home use following phone/video consultation without </w:t>
      </w:r>
      <w:r>
        <w:rPr>
          <w:shd w:val="clear" w:color="auto" w:fill="FFFFFF"/>
        </w:rPr>
        <w:t xml:space="preserve">in-person </w:t>
      </w:r>
      <w:r>
        <w:rPr>
          <w:shd w:val="clear" w:color="auto" w:fill="FFFFFF"/>
        </w:rPr>
        <w:t>examination</w:t>
      </w:r>
      <w:r>
        <w:rPr>
          <w:shd w:val="clear" w:color="auto" w:fill="FFFFFF"/>
        </w:rPr>
        <w:t xml:space="preserve"> or </w:t>
      </w:r>
      <w:r>
        <w:rPr>
          <w:shd w:val="clear" w:color="auto" w:fill="FFFFFF"/>
        </w:rPr>
        <w:t>pre-procedure ultrasound. Medi</w:t>
      </w:r>
      <w:r>
        <w:rPr>
          <w:shd w:val="clear" w:color="auto" w:fill="FFFFFF"/>
        </w:rPr>
        <w:t xml:space="preserve">cations </w:t>
      </w:r>
      <w:r>
        <w:rPr>
          <w:shd w:val="clear" w:color="auto" w:fill="FFFFFF"/>
        </w:rPr>
        <w:t>were</w:t>
      </w:r>
      <w:r>
        <w:rPr>
          <w:shd w:val="clear" w:color="auto" w:fill="FFFFFF"/>
        </w:rPr>
        <w:t xml:space="preserve"> either </w:t>
      </w:r>
      <w:r>
        <w:rPr>
          <w:shd w:val="clear" w:color="auto" w:fill="FFFFFF"/>
        </w:rPr>
        <w:t>mailed</w:t>
      </w:r>
      <w:r>
        <w:rPr>
          <w:shd w:val="clear" w:color="auto" w:fill="FFFFFF"/>
        </w:rPr>
        <w:t xml:space="preserve"> </w:t>
      </w:r>
      <w:r>
        <w:rPr>
          <w:shd w:val="clear" w:color="auto" w:fill="FFFFFF"/>
        </w:rPr>
        <w:t xml:space="preserve">to a person’s home or </w:t>
      </w:r>
      <w:r>
        <w:rPr>
          <w:shd w:val="clear" w:color="auto" w:fill="FFFFFF"/>
        </w:rPr>
        <w:t xml:space="preserve">prepared for collection </w:t>
      </w:r>
      <w:r>
        <w:rPr>
          <w:shd w:val="clear" w:color="auto" w:fill="FFFFFF"/>
        </w:rPr>
        <w:t>from a clinical site</w:t>
      </w:r>
      <w:r>
        <w:rPr>
          <w:shd w:val="clear" w:color="auto" w:fill="FFFFFF"/>
        </w:rPr>
        <w:t xml:space="preserve">. Collection </w:t>
      </w:r>
      <w:r>
        <w:rPr>
          <w:shd w:val="clear" w:color="auto" w:fill="FFFFFF"/>
        </w:rPr>
        <w:t>occ</w:t>
      </w:r>
      <w:r>
        <w:rPr>
          <w:shd w:val="clear" w:color="auto" w:fill="FFFFFF"/>
        </w:rPr>
        <w:t>urred</w:t>
      </w:r>
      <w:r>
        <w:rPr>
          <w:shd w:val="clear" w:color="auto" w:fill="FFFFFF"/>
        </w:rPr>
        <w:t xml:space="preserve"> </w:t>
      </w:r>
      <w:r>
        <w:rPr>
          <w:shd w:val="clear" w:color="auto" w:fill="FFFFFF"/>
        </w:rPr>
        <w:t xml:space="preserve">with minimal contact </w:t>
      </w:r>
      <w:r>
        <w:rPr>
          <w:shd w:val="clear" w:color="auto" w:fill="FFFFFF"/>
        </w:rPr>
        <w:t xml:space="preserve">and </w:t>
      </w:r>
      <w:r>
        <w:rPr>
          <w:shd w:val="clear" w:color="auto" w:fill="FFFFFF"/>
        </w:rPr>
        <w:t>following identify verification</w:t>
      </w:r>
      <w:r>
        <w:rPr>
          <w:shd w:val="clear" w:color="auto" w:fill="FFFFFF"/>
        </w:rPr>
        <w:t xml:space="preserve">.   </w:t>
      </w:r>
      <w:r>
        <w:rPr>
          <w:shd w:val="clear" w:color="auto" w:fill="FFFFFF"/>
        </w:rPr>
        <w:t xml:space="preserve">We defined in-person </w:t>
      </w:r>
      <w:r>
        <w:rPr>
          <w:shd w:val="clear" w:color="auto" w:fill="FFFFFF"/>
        </w:rPr>
        <w:t xml:space="preserve">medical abortion </w:t>
      </w:r>
      <w:r>
        <w:rPr>
          <w:shd w:val="clear" w:color="auto" w:fill="FFFFFF"/>
        </w:rPr>
        <w:t xml:space="preserve"> when a</w:t>
      </w:r>
      <w:r>
        <w:rPr>
          <w:shd w:val="clear" w:color="auto" w:fill="FFFFFF"/>
        </w:rPr>
        <w:t xml:space="preserve"> face-to-face </w:t>
      </w:r>
      <w:r>
        <w:rPr>
          <w:shd w:val="clear" w:color="auto" w:fill="FFFFFF"/>
        </w:rPr>
        <w:t xml:space="preserve">assessment was required, for example </w:t>
      </w:r>
      <w:r>
        <w:rPr>
          <w:shd w:val="clear" w:color="auto" w:fill="FFFFFF"/>
        </w:rPr>
        <w:t>for</w:t>
      </w:r>
      <w:r>
        <w:rPr>
          <w:shd w:val="clear" w:color="auto" w:fill="FFFFFF"/>
        </w:rPr>
        <w:t xml:space="preserve"> an ultrasound scan to assess gestation.   </w:t>
      </w:r>
      <w:r>
        <w:rPr>
          <w:shd w:val="clear" w:color="auto" w:fill="FFFFFF"/>
        </w:rPr>
        <w:t xml:space="preserve">In the pre-telemedicine period this included administration of mifepristone in the clinic </w:t>
      </w:r>
      <w:r>
        <w:rPr>
          <w:shd w:val="clear" w:color="auto" w:fill="FFFFFF"/>
        </w:rPr>
        <w:t xml:space="preserve">and </w:t>
      </w:r>
      <w:r>
        <w:rPr>
          <w:shd w:val="clear" w:color="auto" w:fill="FFFFFF"/>
        </w:rPr>
        <w:t xml:space="preserve">either </w:t>
      </w:r>
      <w:r>
        <w:rPr>
          <w:shd w:val="clear" w:color="auto" w:fill="FFFFFF"/>
        </w:rPr>
        <w:t>misoprostol</w:t>
      </w:r>
      <w:r>
        <w:rPr>
          <w:shd w:val="clear" w:color="auto" w:fill="FFFFFF"/>
        </w:rPr>
        <w:t xml:space="preserve"> </w:t>
      </w:r>
      <w:r>
        <w:rPr>
          <w:shd w:val="clear" w:color="auto" w:fill="FFFFFF"/>
        </w:rPr>
        <w:t>taken within the clinic or provided to take and use at home</w:t>
      </w:r>
      <w:r>
        <w:rPr>
          <w:shd w:val="clear" w:color="auto" w:fill="FFFFFF"/>
        </w:rPr>
        <w:t xml:space="preserve">.   </w:t>
      </w:r>
    </w:p>
    <w:p w:rsidR="003552DE" w:rsidRDefault="00DE001E">
      <w:pPr>
        <w:rPr>
          <w:shd w:val="clear" w:color="auto" w:fill="FFFFFF"/>
        </w:rPr>
      </w:pPr>
      <w:r>
        <w:rPr>
          <w:shd w:val="clear" w:color="auto" w:fill="FFFFFF"/>
        </w:rPr>
        <w:t xml:space="preserve">The </w:t>
      </w:r>
      <w:r>
        <w:t xml:space="preserve">principles of the </w:t>
      </w:r>
      <w:r>
        <w:rPr>
          <w:shd w:val="clear" w:color="auto" w:fill="FFFFFF"/>
        </w:rPr>
        <w:t>STROBE statement were followed</w:t>
      </w:r>
      <w:r>
        <w:rPr>
          <w:shd w:val="clear" w:color="auto" w:fill="FFFFFF"/>
        </w:rPr>
        <w:t>.</w:t>
      </w:r>
      <w:r>
        <w:fldChar w:fldCharType="begin"/>
      </w:r>
      <w:r>
        <w:rPr>
          <w:shd w:val="clear" w:color="auto" w:fill="FFFFFF"/>
        </w:rPr>
        <w:instrText>ADDIN EN.CITE &lt;EndNote&gt;&lt;Cite&gt;&lt;Author&gt;von Elm&lt;/Author&gt;&lt;Year&gt;2007&lt;/Year&gt;&lt;RecNum&gt;1268&lt;/RecNum&gt;&lt;DisplayText&gt;&lt;style face="superscript"&gt;20&lt;/style&gt;&lt;/DisplayText&gt;&lt;record&gt;&lt;rec-number&gt;1268&lt;/rec-numb</w:instrText>
      </w:r>
      <w:r>
        <w:rPr>
          <w:shd w:val="clear" w:color="auto" w:fill="FFFFFF"/>
        </w:rPr>
        <w:instrText>er&gt;&lt;foreign-keys&gt;&lt;key app="EN" db-id="5v5xpasrytpefpe52xr5a9vvtrww9ts0p9d9" timestamp="1605394345"&gt;1268&lt;/key&gt;&lt;/foreign-keys&gt;&lt;ref-type name="Journal Article"&gt;17&lt;/ref-type&gt;&lt;contributors&gt;&lt;authors&gt;&lt;author&gt;von Elm, Erik&lt;/author&gt;&lt;author&gt;Altman, Douglas G.&lt;/autho</w:instrText>
      </w:r>
      <w:r>
        <w:rPr>
          <w:shd w:val="clear" w:color="auto" w:fill="FFFFFF"/>
        </w:rPr>
        <w:instrText>r&gt;&lt;author&gt;Egger, Matthias&lt;/author&gt;&lt;author&gt;Pocock, Stuart J.&lt;/author&gt;&lt;author&gt;Gøtzsche, Peter C.&lt;/author&gt;&lt;author&gt;Vandenbroucke, Jan P.&lt;/author&gt;&lt;/authors&gt;&lt;/contributors&gt;&lt;titles&gt;&lt;title&gt;The Strengthening the Reporting of Observational Studies in Epidemiology (S</w:instrText>
      </w:r>
      <w:r>
        <w:rPr>
          <w:shd w:val="clear" w:color="auto" w:fill="FFFFFF"/>
        </w:rPr>
        <w:instrText>TROBE) statement: guidelines for reporting observational studies&lt;/title&gt;&lt;secondary-title&gt;The Lancet&lt;/secondary-title&gt;&lt;/titles&gt;&lt;periodical&gt;&lt;full-title&gt;The Lancet&lt;/full-title&gt;&lt;/periodical&gt;&lt;pages&gt;1453-1457&lt;/pages&gt;&lt;volume&gt;370&lt;/volume&gt;&lt;number&gt;9596&lt;/number&gt;&lt;date</w:instrText>
      </w:r>
      <w:r>
        <w:rPr>
          <w:shd w:val="clear" w:color="auto" w:fill="FFFFFF"/>
        </w:rPr>
        <w:instrText>s&gt;&lt;year&gt;2007&lt;/year&gt;&lt;/dates&gt;&lt;publisher&gt;Elsevier&lt;/publisher&gt;&lt;isbn&gt;0140-6736&lt;/isbn&gt;&lt;urls&gt;&lt;related-urls&gt;&lt;url&gt;https://doi.org/10.1016/S0140-6736(07)61602-X&lt;/url&gt;&lt;/related-urls&gt;&lt;/urls&gt;&lt;electronic-resource-num&gt;10.1016/S0140-6736(07)61602-X&lt;/electronic-resource-nu</w:instrText>
      </w:r>
      <w:r>
        <w:rPr>
          <w:shd w:val="clear" w:color="auto" w:fill="FFFFFF"/>
        </w:rPr>
        <w:instrText>m&gt;&lt;access-date&gt;2020/11/14&lt;/access-date&gt;&lt;/record&gt;&lt;/Cite&gt;&lt;/EndNote&gt;</w:instrText>
      </w:r>
      <w:r>
        <w:rPr>
          <w:shd w:val="clear" w:color="auto" w:fill="FFFFFF"/>
        </w:rPr>
        <w:fldChar w:fldCharType="separate"/>
      </w:r>
      <w:r>
        <w:rPr>
          <w:shd w:val="clear" w:color="auto" w:fill="FFFFFF"/>
          <w:vertAlign w:val="superscript"/>
        </w:rPr>
        <w:t>20</w:t>
      </w:r>
      <w:r>
        <w:rPr>
          <w:shd w:val="clear" w:color="auto" w:fill="FFFFFF"/>
        </w:rPr>
        <w:fldChar w:fldCharType="end"/>
      </w:r>
      <w:r>
        <w:rPr>
          <w:shd w:val="clear" w:color="auto" w:fill="FFFFFF"/>
        </w:rPr>
        <w:t xml:space="preserve">   </w:t>
      </w:r>
    </w:p>
    <w:p w:rsidR="003552DE" w:rsidRDefault="003552DE">
      <w:pPr>
        <w:rPr>
          <w:shd w:val="clear" w:color="auto" w:fill="FFFFFF"/>
        </w:rPr>
      </w:pPr>
    </w:p>
    <w:p w:rsidR="003552DE" w:rsidRDefault="003552DE">
      <w:pPr>
        <w:rPr>
          <w:shd w:val="clear" w:color="auto" w:fill="FFFFFF"/>
        </w:rPr>
      </w:pPr>
    </w:p>
    <w:p w:rsidR="003552DE" w:rsidRDefault="00DE001E">
      <w:pPr>
        <w:rPr>
          <w:b/>
          <w:shd w:val="clear" w:color="auto" w:fill="FFFFFF"/>
        </w:rPr>
      </w:pPr>
      <w:r>
        <w:rPr>
          <w:b/>
          <w:shd w:val="clear" w:color="auto" w:fill="FFFFFF"/>
        </w:rPr>
        <w:t>Treatment Regimens</w:t>
      </w:r>
    </w:p>
    <w:p w:rsidR="003552DE" w:rsidRDefault="00DE001E">
      <w:pPr>
        <w:rPr>
          <w:shd w:val="clear" w:color="auto" w:fill="FFFFFF"/>
        </w:rPr>
      </w:pPr>
      <w:r>
        <w:rPr>
          <w:shd w:val="clear" w:color="auto" w:fill="FFFFFF"/>
        </w:rPr>
        <w:t>P</w:t>
      </w:r>
      <w:r>
        <w:rPr>
          <w:shd w:val="clear" w:color="auto" w:fill="FFFFFF"/>
        </w:rPr>
        <w:t xml:space="preserve">roviders </w:t>
      </w:r>
      <w:r>
        <w:rPr>
          <w:shd w:val="clear" w:color="auto" w:fill="FFFFFF"/>
        </w:rPr>
        <w:t xml:space="preserve">worked </w:t>
      </w:r>
      <w:r>
        <w:rPr>
          <w:shd w:val="clear" w:color="auto" w:fill="FFFFFF"/>
        </w:rPr>
        <w:t>to</w:t>
      </w:r>
      <w:r>
        <w:rPr>
          <w:shd w:val="clear" w:color="auto" w:fill="FFFFFF"/>
        </w:rPr>
        <w:t xml:space="preserve"> </w:t>
      </w:r>
      <w:r>
        <w:rPr>
          <w:shd w:val="clear" w:color="auto" w:fill="FFFFFF"/>
        </w:rPr>
        <w:t>organisation-specific</w:t>
      </w:r>
      <w:r>
        <w:rPr>
          <w:shd w:val="clear" w:color="auto" w:fill="FFFFFF"/>
        </w:rPr>
        <w:t xml:space="preserve"> </w:t>
      </w:r>
      <w:r>
        <w:rPr>
          <w:shd w:val="clear" w:color="auto" w:fill="FFFFFF"/>
        </w:rPr>
        <w:t>evidence-based</w:t>
      </w:r>
      <w:r>
        <w:rPr>
          <w:shd w:val="clear" w:color="auto" w:fill="FFFFFF"/>
        </w:rPr>
        <w:t xml:space="preserve"> policies </w:t>
      </w:r>
      <w:r>
        <w:rPr>
          <w:shd w:val="clear" w:color="auto" w:fill="FFFFFF"/>
        </w:rPr>
        <w:t xml:space="preserve">informed by </w:t>
      </w:r>
      <w:r>
        <w:rPr>
          <w:shd w:val="clear" w:color="auto" w:fill="FFFFFF"/>
        </w:rPr>
        <w:t>the RCOG</w:t>
      </w:r>
      <w:r>
        <w:rPr>
          <w:shd w:val="clear" w:color="auto" w:fill="FFFFFF"/>
        </w:rPr>
        <w:t>’ COVID</w:t>
      </w:r>
      <w:r>
        <w:rPr>
          <w:shd w:val="clear" w:color="auto" w:fill="FFFFFF"/>
        </w:rPr>
        <w:t xml:space="preserve">-specific </w:t>
      </w:r>
      <w:r>
        <w:rPr>
          <w:shd w:val="clear" w:color="auto" w:fill="FFFFFF"/>
        </w:rPr>
        <w:t>abortion</w:t>
      </w:r>
      <w:r>
        <w:rPr>
          <w:shd w:val="clear" w:color="auto" w:fill="FFFFFF"/>
        </w:rPr>
        <w:t xml:space="preserve"> guideline</w:t>
      </w:r>
      <w:r>
        <w:fldChar w:fldCharType="begin"/>
      </w:r>
      <w:r>
        <w:rPr>
          <w:shd w:val="clear" w:color="auto" w:fill="FFFFFF"/>
        </w:rPr>
        <w:instrText xml:space="preserve">ADDIN </w:instrText>
      </w:r>
      <w:r>
        <w:rPr>
          <w:shd w:val="clear" w:color="auto" w:fill="FFFFFF"/>
        </w:rPr>
        <w:instrText>EN.CITE &lt;EndNote&gt;&lt;Cite&gt;&lt;Author&gt;Royal College of Obstetricians and Gynaecologists (RCOG)&lt;/Author&gt;&lt;Year&gt;2020&lt;/Year&gt;&lt;RecNum&gt;123&lt;/RecNum&gt;&lt;DisplayText&gt;&lt;style face="superscript"&gt;9&lt;/style&gt;&lt;/DisplayText&gt;&lt;record&gt;&lt;rec-number&gt;123&lt;/rec-number&gt;&lt;foreign-keys&gt;&lt;key app="E</w:instrText>
      </w:r>
      <w:r>
        <w:rPr>
          <w:shd w:val="clear" w:color="auto" w:fill="FFFFFF"/>
        </w:rPr>
        <w:instrText>N" db-id="5v5xpasrytpefpe52xr5a9vvtrww9ts0p9d9" timestamp="1591738194"&gt;123&lt;/key&gt;&lt;/foreign-keys&gt;&lt;ref-type name="Report"&gt;27&lt;/ref-type&gt;&lt;contributors&gt;&lt;authors&gt;&lt;author&gt;Royal College of Obstetricians and Gynaecologists (RCOG), &lt;/author&gt;&lt;author&gt;Royal College of M</w:instrText>
      </w:r>
      <w:r>
        <w:rPr>
          <w:shd w:val="clear" w:color="auto" w:fill="FFFFFF"/>
        </w:rPr>
        <w:instrText>idwives (RCM), &lt;/author&gt;&lt;author&gt;Faculty of Sexual &amp;amp; Reproductive Healthcare (FSRH), &lt;/author&gt;&lt;author&gt;British Society of Abortion Care Providers (BSACP), &lt;/author&gt;&lt;/authors&gt;&lt;secondary-authors&gt;&lt;author&gt;RCOG&lt;/author&gt;&lt;/secondary-authors&gt;&lt;tertiary-authors&gt;&lt;a</w:instrText>
      </w:r>
      <w:r>
        <w:rPr>
          <w:shd w:val="clear" w:color="auto" w:fill="FFFFFF"/>
        </w:rPr>
        <w:instrText>uthor&gt;RCOG&lt;/author&gt;&lt;/tertiary-authors&gt;&lt;/contributors&gt;&lt;titles&gt;&lt;title&gt;Coronavirus (COVID-19) infection and abortion care&lt;/title&gt;&lt;/titles&gt;&lt;dates&gt;&lt;year&gt;2020&lt;/year&gt;&lt;pub-dates&gt;&lt;date&gt;31/07/2020&lt;/date&gt;&lt;/pub-dates&gt;&lt;/dates&gt;&lt;pub-location&gt;London, UK&lt;/pub-location&gt;&lt;pub</w:instrText>
      </w:r>
      <w:r>
        <w:rPr>
          <w:shd w:val="clear" w:color="auto" w:fill="FFFFFF"/>
        </w:rPr>
        <w:instrText>lisher&gt;Royal College of Obstetricians and Gynaecologists&lt;/publisher&gt;&lt;urls&gt;&lt;related-urls&gt;&lt;url&gt;https://www.rcog.org.uk/globalassets/documents/guidelines/2020-07-31-coronavirus-covid-19-infection-and-abortion-care.pdf&lt;/url&gt;&lt;/related-urls&gt;&lt;/urls&gt;&lt;/record&gt;&lt;/Cit</w:instrText>
      </w:r>
      <w:r>
        <w:rPr>
          <w:shd w:val="clear" w:color="auto" w:fill="FFFFFF"/>
        </w:rPr>
        <w:instrText>e&gt;&lt;/EndNote&gt;</w:instrText>
      </w:r>
      <w:r>
        <w:rPr>
          <w:shd w:val="clear" w:color="auto" w:fill="FFFFFF"/>
        </w:rPr>
        <w:fldChar w:fldCharType="separate"/>
      </w:r>
      <w:r>
        <w:rPr>
          <w:shd w:val="clear" w:color="auto" w:fill="FFFFFF"/>
          <w:vertAlign w:val="superscript"/>
        </w:rPr>
        <w:t>9</w:t>
      </w:r>
      <w:r>
        <w:rPr>
          <w:shd w:val="clear" w:color="auto" w:fill="FFFFFF"/>
        </w:rPr>
        <w:fldChar w:fldCharType="end"/>
      </w:r>
      <w:r>
        <w:rPr>
          <w:shd w:val="clear" w:color="auto" w:fill="FFFFFF"/>
        </w:rPr>
        <w:t xml:space="preserve"> </w:t>
      </w:r>
      <w:r>
        <w:rPr>
          <w:shd w:val="clear" w:color="auto" w:fill="FFFFFF"/>
        </w:rPr>
        <w:t>and associated decision aid</w:t>
      </w:r>
      <w:r>
        <w:fldChar w:fldCharType="begin"/>
      </w:r>
      <w:r>
        <w:rPr>
          <w:shd w:val="clear" w:color="auto" w:fill="FFFFFF"/>
        </w:rPr>
        <w:instrText>ADDIN EN.CITE &lt;EndNote&gt;&lt;Cite&gt;&lt;Author&gt;Royal College of Obstetricians and Gynaecologists (RCOG)&lt;/Author&gt;&lt;Year&gt;2020&lt;/Year&gt;&lt;RecNum&gt;1236&lt;/RecNum&gt;&lt;DisplayText&gt;&lt;style face="superscript"&gt;21&lt;/style&gt;&lt;/DisplayText&gt;&lt;re</w:instrText>
      </w:r>
      <w:r>
        <w:rPr>
          <w:shd w:val="clear" w:color="auto" w:fill="FFFFFF"/>
        </w:rPr>
        <w:instrText>cord&gt;&lt;rec-number&gt;1236&lt;/rec-number&gt;&lt;foreign-keys&gt;&lt;key app="EN" db-id="5v5xpasrytpefpe52xr5a9vvtrww9ts0p9d9" timestamp="1598046863"&gt;1236&lt;/key&gt;&lt;/foreign-keys&gt;&lt;ref-type name="Report"&gt;27&lt;/ref-type&gt;&lt;contributors&gt;&lt;authors&gt;&lt;author&gt;Royal College of Obstetricians an</w:instrText>
      </w:r>
      <w:r>
        <w:rPr>
          <w:shd w:val="clear" w:color="auto" w:fill="FFFFFF"/>
        </w:rPr>
        <w:instrText>d Gynaecologists (RCOG), &lt;/author&gt;&lt;/authors&gt;&lt;secondary-authors&gt;&lt;author&gt;Royal College of Obstetricians and Gynaecologists (RCOG), &lt;/author&gt;&lt;/secondary-authors&gt;&lt;tertiary-authors&gt;&lt;author&gt;Royal College of Obstetricians and Gynaecologists (RCOG), &lt;/author&gt;&lt;/ter</w:instrText>
      </w:r>
      <w:r>
        <w:rPr>
          <w:shd w:val="clear" w:color="auto" w:fill="FFFFFF"/>
        </w:rPr>
        <w:instrText>tiary-authors&gt;&lt;/contributors&gt;&lt;titles&gt;&lt;title&gt;Decision aid for early medical abortion without ultrasound&lt;/title&gt;&lt;secondary-title&gt;Coronavirus (COVID-19) and gynaecological services&lt;/secondary-title&gt;&lt;/titles&gt;&lt;dates&gt;&lt;year&gt;2020&lt;/year&gt;&lt;/dates&gt;&lt;pub-location&gt;London</w:instrText>
      </w:r>
      <w:r>
        <w:rPr>
          <w:shd w:val="clear" w:color="auto" w:fill="FFFFFF"/>
        </w:rPr>
        <w:instrText>&lt;/pub-location&gt;&lt;publisher&gt;Royal College of Obstetricians and Gynaecologists (RCOG), &lt;/publisher&gt;&lt;urls&gt;&lt;related-urls&gt;&lt;url&gt;https://www.rcog.org.uk/globalassets/documents/guidelines/2020-06-04-decision-aid-for-early-medical-abortion-without-ultrasound.pdf&lt;/ur</w:instrText>
      </w:r>
      <w:r>
        <w:rPr>
          <w:shd w:val="clear" w:color="auto" w:fill="FFFFFF"/>
        </w:rPr>
        <w:instrText>l&gt;&lt;/related-urls&gt;&lt;/urls&gt;&lt;/record&gt;&lt;/Cite&gt;&lt;/EndNote&gt;</w:instrText>
      </w:r>
      <w:r>
        <w:rPr>
          <w:shd w:val="clear" w:color="auto" w:fill="FFFFFF"/>
        </w:rPr>
        <w:fldChar w:fldCharType="separate"/>
      </w:r>
      <w:r>
        <w:rPr>
          <w:shd w:val="clear" w:color="auto" w:fill="FFFFFF"/>
          <w:vertAlign w:val="superscript"/>
        </w:rPr>
        <w:t>21</w:t>
      </w:r>
      <w:r>
        <w:rPr>
          <w:shd w:val="clear" w:color="auto" w:fill="FFFFFF"/>
        </w:rPr>
        <w:fldChar w:fldCharType="end"/>
      </w:r>
      <w:r>
        <w:rPr>
          <w:shd w:val="clear" w:color="auto" w:fill="FFFFFF"/>
        </w:rPr>
        <w:t xml:space="preserve"> </w:t>
      </w:r>
      <w:r>
        <w:rPr>
          <w:shd w:val="clear" w:color="auto" w:fill="FFFFFF"/>
        </w:rPr>
        <w:t>and</w:t>
      </w:r>
      <w:r>
        <w:t xml:space="preserve"> earlier </w:t>
      </w:r>
      <w:r>
        <w:t xml:space="preserve">RCOG and NICE </w:t>
      </w:r>
      <w:r>
        <w:t>guidelines for general abortion care</w:t>
      </w:r>
      <w:r>
        <w:t xml:space="preserve"> </w:t>
      </w:r>
      <w:r>
        <w:t xml:space="preserve">including </w:t>
      </w:r>
      <w:r>
        <w:t xml:space="preserve">in-person </w:t>
      </w:r>
      <w:r>
        <w:t xml:space="preserve">medical abortion </w:t>
      </w:r>
      <w:r>
        <w:fldChar w:fldCharType="begin"/>
      </w:r>
      <w:r>
        <w:instrText>ADDIN EN.CITE</w:instrText>
      </w:r>
      <w:r>
        <w:fldChar w:fldCharType="begin"/>
      </w:r>
      <w:r>
        <w:instrText>ADDIN EN.CITE.DATA</w:instrText>
      </w:r>
      <w:r>
        <w:fldChar w:fldCharType="end"/>
      </w:r>
      <w:r>
        <w:fldChar w:fldCharType="separate"/>
      </w:r>
      <w:r>
        <w:rPr>
          <w:vertAlign w:val="superscript"/>
        </w:rPr>
        <w:t>3 22</w:t>
      </w:r>
      <w:r>
        <w:fldChar w:fldCharType="end"/>
      </w:r>
      <w:r>
        <w:rPr>
          <w:shd w:val="clear" w:color="auto" w:fill="FFFFFF"/>
        </w:rPr>
        <w:t xml:space="preserve">.   </w:t>
      </w:r>
    </w:p>
    <w:p w:rsidR="003552DE" w:rsidRDefault="00DE001E">
      <w:pPr>
        <w:rPr>
          <w:shd w:val="clear" w:color="auto" w:fill="FFFFFF"/>
        </w:rPr>
      </w:pPr>
      <w:r>
        <w:rPr>
          <w:shd w:val="clear" w:color="auto" w:fill="FFFFFF"/>
        </w:rPr>
        <w:t>P</w:t>
      </w:r>
      <w:r>
        <w:rPr>
          <w:shd w:val="clear" w:color="auto" w:fill="FFFFFF"/>
        </w:rPr>
        <w:t>re-</w:t>
      </w:r>
      <w:r>
        <w:rPr>
          <w:shd w:val="clear" w:color="auto" w:fill="FFFFFF"/>
        </w:rPr>
        <w:t>telemedicine, some aspects of</w:t>
      </w:r>
      <w:r>
        <w:rPr>
          <w:shd w:val="clear" w:color="auto" w:fill="FFFFFF"/>
        </w:rPr>
        <w:t xml:space="preserve"> the pre-abortion</w:t>
      </w:r>
      <w:r>
        <w:rPr>
          <w:shd w:val="clear" w:color="auto" w:fill="FFFFFF"/>
        </w:rPr>
        <w:t xml:space="preserve"> consultation may have been carried out by phone (e.g., obtaining a medical history) but </w:t>
      </w:r>
      <w:r>
        <w:rPr>
          <w:shd w:val="clear" w:color="auto" w:fill="FFFFFF"/>
        </w:rPr>
        <w:t>an</w:t>
      </w:r>
      <w:r>
        <w:rPr>
          <w:shd w:val="clear" w:color="auto" w:fill="FFFFFF"/>
        </w:rPr>
        <w:t xml:space="preserve"> in</w:t>
      </w:r>
      <w:r>
        <w:rPr>
          <w:shd w:val="clear" w:color="auto" w:fill="FFFFFF"/>
        </w:rPr>
        <w:t xml:space="preserve">-person assessment for an ultrasound and </w:t>
      </w:r>
      <w:r>
        <w:rPr>
          <w:shd w:val="clear" w:color="auto" w:fill="FFFFFF"/>
        </w:rPr>
        <w:t>administration</w:t>
      </w:r>
      <w:r>
        <w:rPr>
          <w:shd w:val="clear" w:color="auto" w:fill="FFFFFF"/>
        </w:rPr>
        <w:t xml:space="preserve"> of mifepristone</w:t>
      </w:r>
      <w:r>
        <w:rPr>
          <w:shd w:val="clear" w:color="auto" w:fill="FFFFFF"/>
        </w:rPr>
        <w:t xml:space="preserve"> was always required</w:t>
      </w:r>
      <w:r>
        <w:rPr>
          <w:shd w:val="clear" w:color="auto" w:fill="FFFFFF"/>
        </w:rPr>
        <w:t xml:space="preserve">. </w:t>
      </w:r>
      <w:r>
        <w:rPr>
          <w:shd w:val="clear" w:color="auto" w:fill="FFFFFF"/>
        </w:rPr>
        <w:t xml:space="preserve"> </w:t>
      </w:r>
      <w:r>
        <w:rPr>
          <w:shd w:val="clear" w:color="auto" w:fill="FFFFFF"/>
        </w:rPr>
        <w:t xml:space="preserve"> </w:t>
      </w:r>
      <w:r>
        <w:rPr>
          <w:shd w:val="clear" w:color="auto" w:fill="FFFFFF"/>
        </w:rPr>
        <w:t>Post-telemedicine, consultations were by phone/video link as standard with in</w:t>
      </w:r>
      <w:r>
        <w:rPr>
          <w:shd w:val="clear" w:color="auto" w:fill="FFFFFF"/>
        </w:rPr>
        <w:t xml:space="preserve">-person care provided as needed. </w:t>
      </w:r>
      <w:r>
        <w:rPr>
          <w:shd w:val="clear" w:color="auto" w:fill="FFFFFF"/>
        </w:rPr>
        <w:t>In-person care may have been required for an ultrasound</w:t>
      </w:r>
      <w:r>
        <w:rPr>
          <w:shd w:val="clear" w:color="auto" w:fill="FFFFFF"/>
        </w:rPr>
        <w:t xml:space="preserve"> for example if gestational age within the </w:t>
      </w:r>
      <w:r>
        <w:rPr>
          <w:shd w:val="clear" w:color="auto" w:fill="FFFFFF"/>
        </w:rPr>
        <w:t>10 w</w:t>
      </w:r>
      <w:r>
        <w:rPr>
          <w:shd w:val="clear" w:color="auto" w:fill="FFFFFF"/>
        </w:rPr>
        <w:t xml:space="preserve">eeks’ gestation </w:t>
      </w:r>
      <w:r>
        <w:rPr>
          <w:shd w:val="clear" w:color="auto" w:fill="FFFFFF"/>
        </w:rPr>
        <w:t>limit defined in</w:t>
      </w:r>
      <w:r>
        <w:rPr>
          <w:shd w:val="clear" w:color="auto" w:fill="FFFFFF"/>
        </w:rPr>
        <w:t xml:space="preserve"> the government approval orders, </w:t>
      </w:r>
      <w:r>
        <w:rPr>
          <w:shd w:val="clear" w:color="auto" w:fill="FFFFFF"/>
        </w:rPr>
        <w:t>of in the presence of</w:t>
      </w:r>
      <w:r>
        <w:rPr>
          <w:shd w:val="clear" w:color="auto" w:fill="FFFFFF"/>
        </w:rPr>
        <w:t xml:space="preserve"> symptoms or risk factors for an ectopic pregnancy.</w:t>
      </w:r>
      <w:r>
        <w:rPr>
          <w:shd w:val="clear" w:color="auto" w:fill="FFFFFF"/>
        </w:rPr>
        <w:t xml:space="preserve">   </w:t>
      </w:r>
      <w:r>
        <w:rPr>
          <w:shd w:val="clear" w:color="auto" w:fill="FFFFFF"/>
        </w:rPr>
        <w:t>Other indications for in-person ca</w:t>
      </w:r>
      <w:r>
        <w:rPr>
          <w:shd w:val="clear" w:color="auto" w:fill="FFFFFF"/>
        </w:rPr>
        <w:t xml:space="preserve">re included the need to carry out </w:t>
      </w:r>
      <w:r>
        <w:rPr>
          <w:shd w:val="clear" w:color="auto" w:fill="FFFFFF"/>
        </w:rPr>
        <w:t>face-to-face safeguarding assessments</w:t>
      </w:r>
      <w:r>
        <w:rPr>
          <w:shd w:val="clear" w:color="auto" w:fill="FFFFFF"/>
        </w:rPr>
        <w:t xml:space="preserve"> or </w:t>
      </w:r>
      <w:r>
        <w:rPr>
          <w:shd w:val="clear" w:color="auto" w:fill="FFFFFF"/>
        </w:rPr>
        <w:t xml:space="preserve">a service-user’s strong preference for or inability to complete a pre-abortion </w:t>
      </w:r>
      <w:r>
        <w:rPr>
          <w:shd w:val="clear" w:color="auto" w:fill="FFFFFF"/>
        </w:rPr>
        <w:t>assessment</w:t>
      </w:r>
      <w:r>
        <w:rPr>
          <w:shd w:val="clear" w:color="auto" w:fill="FFFFFF"/>
        </w:rPr>
        <w:t xml:space="preserve"> remotely</w:t>
      </w:r>
      <w:r>
        <w:rPr>
          <w:shd w:val="clear" w:color="auto" w:fill="FFFFFF"/>
        </w:rPr>
        <w:t>.</w:t>
      </w:r>
      <w:r>
        <w:rPr>
          <w:shd w:val="clear" w:color="auto" w:fill="FFFFFF"/>
        </w:rPr>
        <w:t xml:space="preserve"> </w:t>
      </w:r>
      <w:r>
        <w:rPr>
          <w:shd w:val="clear" w:color="auto" w:fill="FFFFFF"/>
        </w:rPr>
        <w:t xml:space="preserve"> </w:t>
      </w:r>
    </w:p>
    <w:p w:rsidR="003552DE" w:rsidRDefault="003552DE">
      <w:pPr>
        <w:rPr>
          <w:shd w:val="clear" w:color="auto" w:fill="FFFFFF"/>
        </w:rPr>
      </w:pPr>
    </w:p>
    <w:p w:rsidR="003552DE" w:rsidRDefault="003552DE">
      <w:pPr>
        <w:rPr>
          <w:shd w:val="clear" w:color="auto" w:fill="FFFFFF"/>
        </w:rPr>
      </w:pPr>
    </w:p>
    <w:p w:rsidR="003552DE" w:rsidRDefault="00DE001E">
      <w:pPr>
        <w:rPr>
          <w:shd w:val="clear" w:color="auto" w:fill="FFFFFF"/>
        </w:rPr>
      </w:pPr>
      <w:r>
        <w:rPr>
          <w:b/>
          <w:shd w:val="clear" w:color="auto" w:fill="FFFFFF"/>
        </w:rPr>
        <w:t>Outcome Measures</w:t>
      </w:r>
    </w:p>
    <w:p w:rsidR="003552DE" w:rsidRDefault="00DE001E">
      <w:pPr>
        <w:rPr>
          <w:b/>
          <w:i/>
          <w:shd w:val="clear" w:color="auto" w:fill="FFFFFF"/>
        </w:rPr>
      </w:pPr>
      <w:r>
        <w:rPr>
          <w:b/>
          <w:i/>
          <w:shd w:val="clear" w:color="auto" w:fill="FFFFFF"/>
        </w:rPr>
        <w:t>Ectopic Pregnancy</w:t>
      </w:r>
    </w:p>
    <w:p w:rsidR="003552DE" w:rsidRDefault="00DE001E">
      <w:pPr>
        <w:rPr>
          <w:shd w:val="clear" w:color="auto" w:fill="FFFFFF"/>
        </w:rPr>
      </w:pPr>
      <w:r>
        <w:rPr>
          <w:shd w:val="clear" w:color="auto" w:fill="FFFFFF"/>
        </w:rPr>
        <w:t xml:space="preserve">All ectopic pregnancies were </w:t>
      </w:r>
      <w:r>
        <w:rPr>
          <w:shd w:val="clear" w:color="auto" w:fill="FFFFFF"/>
        </w:rPr>
        <w:t xml:space="preserve">recorded </w:t>
      </w:r>
      <w:r>
        <w:rPr>
          <w:shd w:val="clear" w:color="auto" w:fill="FFFFFF"/>
        </w:rPr>
        <w:t xml:space="preserve">by the provider </w:t>
      </w:r>
      <w:r>
        <w:rPr>
          <w:shd w:val="clear" w:color="auto" w:fill="FFFFFF"/>
        </w:rPr>
        <w:t>in line with their risk management policies</w:t>
      </w:r>
      <w:r>
        <w:rPr>
          <w:shd w:val="clear" w:color="auto" w:fill="FFFFFF"/>
        </w:rPr>
        <w:t xml:space="preserve">.   For the purposes of this analysis, all women referred for further diagnostics (e.g. serial </w:t>
      </w:r>
      <w:r>
        <w:rPr>
          <w:rFonts w:cstheme="minorHAnsi"/>
          <w:shd w:val="clear" w:color="auto" w:fill="FFFFFF"/>
        </w:rPr>
        <w:t>β</w:t>
      </w:r>
      <w:r>
        <w:rPr>
          <w:shd w:val="clear" w:color="auto" w:fill="FFFFFF"/>
        </w:rPr>
        <w:t>hCG monitoring) but who had no further treatment are included i</w:t>
      </w:r>
      <w:r>
        <w:rPr>
          <w:shd w:val="clear" w:color="auto" w:fill="FFFFFF"/>
        </w:rPr>
        <w:t xml:space="preserve">n the ectopic pregnancy group although a proportion of these will be pregnancy of unknown locations (PULs) that includes failed early intrauterine pregnancies.   Ectopic pregnancies detected prior to receiving EMA, but where there had been an intention to </w:t>
      </w:r>
      <w:r>
        <w:rPr>
          <w:shd w:val="clear" w:color="auto" w:fill="FFFFFF"/>
        </w:rPr>
        <w:t xml:space="preserve">proceed with an </w:t>
      </w:r>
      <w:r>
        <w:rPr>
          <w:shd w:val="clear" w:color="auto" w:fill="FFFFFF"/>
        </w:rPr>
        <w:t>abortion</w:t>
      </w:r>
      <w:r>
        <w:rPr>
          <w:shd w:val="clear" w:color="auto" w:fill="FFFFFF"/>
        </w:rPr>
        <w:t xml:space="preserve">, are also reported to enable an estimation of the population </w:t>
      </w:r>
      <w:r>
        <w:rPr>
          <w:shd w:val="clear" w:color="auto" w:fill="FFFFFF"/>
        </w:rPr>
        <w:t xml:space="preserve">prevalence </w:t>
      </w:r>
      <w:r>
        <w:rPr>
          <w:shd w:val="clear" w:color="auto" w:fill="FFFFFF"/>
        </w:rPr>
        <w:t>and effectiveness of the decision aid used</w:t>
      </w:r>
      <w:r>
        <w:rPr>
          <w:shd w:val="clear" w:color="auto" w:fill="FFFFFF"/>
        </w:rPr>
        <w:t xml:space="preserve">.   </w:t>
      </w:r>
      <w:r>
        <w:rPr>
          <w:shd w:val="clear" w:color="auto" w:fill="FFFFFF"/>
        </w:rPr>
        <w:t xml:space="preserve">All cases where significant haemorrhage or tubal rupture were </w:t>
      </w:r>
      <w:r>
        <w:rPr>
          <w:shd w:val="clear" w:color="auto" w:fill="FFFFFF"/>
        </w:rPr>
        <w:t>reported</w:t>
      </w:r>
      <w:r>
        <w:rPr>
          <w:shd w:val="clear" w:color="auto" w:fill="FFFFFF"/>
        </w:rPr>
        <w:t>, and all those where investigation conc</w:t>
      </w:r>
      <w:r>
        <w:rPr>
          <w:shd w:val="clear" w:color="auto" w:fill="FFFFFF"/>
        </w:rPr>
        <w:t>luded a “near miss”, are included</w:t>
      </w:r>
      <w:r>
        <w:rPr>
          <w:shd w:val="clear" w:color="auto" w:fill="FFFFFF"/>
        </w:rPr>
        <w:t xml:space="preserve">.   </w:t>
      </w:r>
    </w:p>
    <w:p w:rsidR="003552DE" w:rsidRDefault="00DE001E">
      <w:pPr>
        <w:rPr>
          <w:shd w:val="clear" w:color="auto" w:fill="FFFFFF"/>
        </w:rPr>
      </w:pPr>
      <w:r>
        <w:rPr>
          <w:shd w:val="clear" w:color="auto" w:fill="FFFFFF"/>
        </w:rPr>
        <w:t>TO note for BPAS: We provided data on any ectopic pregnancy confirmed pre-t</w:t>
      </w:r>
      <w:r>
        <w:rPr>
          <w:shd w:val="clear" w:color="auto" w:fill="FFFFFF"/>
        </w:rPr>
        <w:t xml:space="preserve">reatment </w:t>
      </w:r>
      <w:r>
        <w:rPr>
          <w:shd w:val="clear" w:color="auto" w:fill="FFFFFF"/>
        </w:rPr>
        <w:t xml:space="preserve"> or post-t</w:t>
      </w:r>
      <w:r>
        <w:rPr>
          <w:shd w:val="clear" w:color="auto" w:fill="FFFFFF"/>
        </w:rPr>
        <w:t>reatment</w:t>
      </w:r>
      <w:r>
        <w:rPr>
          <w:shd w:val="clear" w:color="auto" w:fill="FFFFFF"/>
        </w:rPr>
        <w:t xml:space="preserve"> in both periods. Post-</w:t>
      </w:r>
      <w:r>
        <w:rPr>
          <w:shd w:val="clear" w:color="auto" w:fill="FFFFFF"/>
        </w:rPr>
        <w:t xml:space="preserve">treatment </w:t>
      </w:r>
      <w:r>
        <w:rPr>
          <w:shd w:val="clear" w:color="auto" w:fill="FFFFFF"/>
        </w:rPr>
        <w:t xml:space="preserve">period 1 we had 2 scar pregnancies that Abigail has removed. We have not included all EPAU referral regardless of outcome and we have not included </w:t>
      </w:r>
      <w:r>
        <w:rPr>
          <w:shd w:val="clear" w:color="auto" w:fill="FFFFFF"/>
        </w:rPr>
        <w:t xml:space="preserve">cases </w:t>
      </w:r>
      <w:r>
        <w:rPr>
          <w:shd w:val="clear" w:color="auto" w:fill="FFFFFF"/>
        </w:rPr>
        <w:t xml:space="preserve">where we did not know the outcome of referral. </w:t>
      </w:r>
    </w:p>
    <w:p w:rsidR="003552DE" w:rsidRDefault="003552DE">
      <w:pPr>
        <w:rPr>
          <w:shd w:val="clear" w:color="auto" w:fill="FFFFFF"/>
        </w:rPr>
      </w:pPr>
    </w:p>
    <w:p w:rsidR="003552DE" w:rsidRDefault="003552DE">
      <w:pPr>
        <w:rPr>
          <w:shd w:val="clear" w:color="auto" w:fill="FFFFFF"/>
        </w:rPr>
      </w:pPr>
    </w:p>
    <w:p w:rsidR="003552DE" w:rsidRDefault="00DE001E">
      <w:pPr>
        <w:rPr>
          <w:b/>
          <w:i/>
          <w:shd w:val="clear" w:color="auto" w:fill="FFFFFF"/>
        </w:rPr>
      </w:pPr>
      <w:r>
        <w:rPr>
          <w:b/>
          <w:i/>
          <w:shd w:val="clear" w:color="auto" w:fill="FFFFFF"/>
        </w:rPr>
        <w:t>Acceptability</w:t>
      </w:r>
    </w:p>
    <w:p w:rsidR="003552DE" w:rsidRDefault="00DE001E">
      <w:pPr>
        <w:rPr>
          <w:shd w:val="clear" w:color="auto" w:fill="FFFFFF"/>
        </w:rPr>
      </w:pPr>
      <w:r>
        <w:rPr>
          <w:shd w:val="clear" w:color="auto" w:fill="FFFFFF"/>
        </w:rPr>
        <w:t xml:space="preserve">Given the constraints of delivering healthcare during COVID-19 it was not possible to follow up all women to capture patient-reported outcomes.  </w:t>
      </w:r>
      <w:r>
        <w:rPr>
          <w:shd w:val="clear" w:color="auto" w:fill="FFFFFF"/>
        </w:rPr>
        <w:t xml:space="preserve">Two </w:t>
      </w:r>
      <w:r>
        <w:rPr>
          <w:shd w:val="clear" w:color="auto" w:fill="FFFFFF"/>
        </w:rPr>
        <w:t>of the providers (</w:t>
      </w:r>
      <w:r>
        <w:rPr>
          <w:shd w:val="clear" w:color="auto" w:fill="FFFFFF"/>
        </w:rPr>
        <w:t xml:space="preserve">BPAS and </w:t>
      </w:r>
      <w:r>
        <w:rPr>
          <w:shd w:val="clear" w:color="auto" w:fill="FFFFFF"/>
        </w:rPr>
        <w:t>MSUK</w:t>
      </w:r>
      <w:r>
        <w:rPr>
          <w:shd w:val="clear" w:color="auto" w:fill="FFFFFF"/>
        </w:rPr>
        <w:t xml:space="preserve">) conducted a sample </w:t>
      </w:r>
      <w:r>
        <w:rPr>
          <w:shd w:val="clear" w:color="auto" w:fill="FFFFFF"/>
        </w:rPr>
        <w:t xml:space="preserve">throughout the study period </w:t>
      </w:r>
      <w:r>
        <w:rPr>
          <w:shd w:val="clear" w:color="auto" w:fill="FFFFFF"/>
        </w:rPr>
        <w:t xml:space="preserve">where women were invited to </w:t>
      </w:r>
      <w:r>
        <w:rPr>
          <w:shd w:val="clear" w:color="auto" w:fill="FFFFFF"/>
        </w:rPr>
        <w:t xml:space="preserve">complete a structured feedback interview, either by telephone or using an on-line form, </w:t>
      </w:r>
      <w:r>
        <w:rPr>
          <w:shd w:val="clear" w:color="auto" w:fill="FFFFFF"/>
        </w:rPr>
        <w:t xml:space="preserve">up to one week after their misoprostol.   </w:t>
      </w:r>
      <w:r>
        <w:rPr>
          <w:shd w:val="clear" w:color="auto" w:fill="FFFFFF"/>
        </w:rPr>
        <w:t xml:space="preserve">All contact </w:t>
      </w:r>
      <w:r>
        <w:rPr>
          <w:shd w:val="clear" w:color="auto" w:fill="FFFFFF"/>
        </w:rPr>
        <w:t xml:space="preserve">was </w:t>
      </w:r>
      <w:r>
        <w:rPr>
          <w:shd w:val="clear" w:color="auto" w:fill="FFFFFF"/>
        </w:rPr>
        <w:t>by a non-clinici</w:t>
      </w:r>
      <w:r>
        <w:rPr>
          <w:shd w:val="clear" w:color="auto" w:fill="FFFFFF"/>
        </w:rPr>
        <w:t xml:space="preserve">an who had not been involved in </w:t>
      </w:r>
      <w:r>
        <w:rPr>
          <w:shd w:val="clear" w:color="auto" w:fill="FFFFFF"/>
        </w:rPr>
        <w:t xml:space="preserve">the woman’s </w:t>
      </w:r>
      <w:r>
        <w:rPr>
          <w:shd w:val="clear" w:color="auto" w:fill="FFFFFF"/>
        </w:rPr>
        <w:t xml:space="preserve">care.   </w:t>
      </w:r>
    </w:p>
    <w:p w:rsidR="003552DE" w:rsidRDefault="00DE001E">
      <w:pPr>
        <w:rPr>
          <w:shd w:val="clear" w:color="auto" w:fill="FFFFFF"/>
        </w:rPr>
      </w:pPr>
      <w:r>
        <w:rPr>
          <w:shd w:val="clear" w:color="auto" w:fill="FFFFFF"/>
        </w:rPr>
        <w:t xml:space="preserve">For BPAS: </w:t>
      </w:r>
      <w:r>
        <w:rPr>
          <w:shd w:val="clear" w:color="auto" w:fill="FFFFFF"/>
        </w:rPr>
        <w:t>W</w:t>
      </w:r>
      <w:r>
        <w:rPr>
          <w:shd w:val="clear" w:color="auto" w:fill="FFFFFF"/>
        </w:rPr>
        <w:t>e carried out a</w:t>
      </w:r>
      <w:r>
        <w:rPr>
          <w:shd w:val="clear" w:color="auto" w:fill="FFFFFF"/>
        </w:rPr>
        <w:t xml:space="preserve"> dedicated</w:t>
      </w:r>
      <w:r>
        <w:rPr>
          <w:shd w:val="clear" w:color="auto" w:fill="FFFFFF"/>
        </w:rPr>
        <w:t xml:space="preserve"> evaluation</w:t>
      </w:r>
      <w:r>
        <w:rPr>
          <w:shd w:val="clear" w:color="auto" w:fill="FFFFFF"/>
        </w:rPr>
        <w:t xml:space="preserve"> with clients accessing medical abortion</w:t>
      </w:r>
      <w:r>
        <w:rPr>
          <w:shd w:val="clear" w:color="auto" w:fill="FFFFFF"/>
        </w:rPr>
        <w:t xml:space="preserve"> from 11 May-</w:t>
      </w:r>
      <w:r>
        <w:rPr>
          <w:shd w:val="clear" w:color="auto" w:fill="FFFFFF"/>
        </w:rPr>
        <w:t xml:space="preserve">10 July </w:t>
      </w:r>
      <w:r>
        <w:rPr>
          <w:shd w:val="clear" w:color="auto" w:fill="FFFFFF"/>
        </w:rPr>
        <w:t>2020</w:t>
      </w:r>
      <w:r>
        <w:rPr>
          <w:shd w:val="clear" w:color="auto" w:fill="FFFFFF"/>
        </w:rPr>
        <w:t xml:space="preserve">. We sent a text message with a link to a web-survey </w:t>
      </w:r>
      <w:r>
        <w:rPr>
          <w:shd w:val="clear" w:color="auto" w:fill="FFFFFF"/>
        </w:rPr>
        <w:t xml:space="preserve">14-21 days after </w:t>
      </w:r>
      <w:r>
        <w:rPr>
          <w:shd w:val="clear" w:color="auto" w:fill="FFFFFF"/>
        </w:rPr>
        <w:t>treatment</w:t>
      </w:r>
      <w:r>
        <w:rPr>
          <w:shd w:val="clear" w:color="auto" w:fill="FFFFFF"/>
        </w:rPr>
        <w:t>. We evaluated satisfaction, experiences and future preferences</w:t>
      </w:r>
      <w:r>
        <w:rPr>
          <w:shd w:val="clear" w:color="auto" w:fill="FFFFFF"/>
        </w:rPr>
        <w:t xml:space="preserve"> </w:t>
      </w:r>
      <w:r>
        <w:rPr>
          <w:shd w:val="clear" w:color="auto" w:fill="FFFFFF"/>
        </w:rPr>
        <w:t>for consultation and abortion care</w:t>
      </w:r>
      <w:r>
        <w:rPr>
          <w:shd w:val="clear" w:color="auto" w:fill="FFFFFF"/>
        </w:rPr>
        <w:t xml:space="preserve">. </w:t>
      </w:r>
      <w:r>
        <w:rPr>
          <w:shd w:val="clear" w:color="auto" w:fill="FFFFFF"/>
        </w:rPr>
        <w:t xml:space="preserve">NB: is this worth it?? </w:t>
      </w:r>
    </w:p>
    <w:p w:rsidR="003552DE" w:rsidRDefault="003552DE">
      <w:pPr>
        <w:rPr>
          <w:shd w:val="clear" w:color="auto" w:fill="FFFFFF"/>
        </w:rPr>
      </w:pPr>
    </w:p>
    <w:p w:rsidR="003552DE" w:rsidRDefault="00DE001E">
      <w:pPr>
        <w:rPr>
          <w:b/>
          <w:shd w:val="clear" w:color="auto" w:fill="FFFFFF"/>
        </w:rPr>
      </w:pPr>
      <w:r>
        <w:rPr>
          <w:b/>
          <w:shd w:val="clear" w:color="auto" w:fill="FFFFFF"/>
        </w:rPr>
        <w:t>Analysis</w:t>
      </w:r>
    </w:p>
    <w:p w:rsidR="003552DE" w:rsidRDefault="00DE001E">
      <w:pPr>
        <w:rPr>
          <w:shd w:val="clear" w:color="auto" w:fill="FFFFFF"/>
        </w:rPr>
      </w:pPr>
      <w:r>
        <w:rPr>
          <w:shd w:val="clear" w:color="auto" w:fill="FFFFFF"/>
        </w:rPr>
        <w:t>[For Abigail’s magic]</w:t>
      </w:r>
    </w:p>
    <w:p w:rsidR="003552DE" w:rsidRDefault="00DE001E">
      <w:pPr>
        <w:rPr>
          <w:shd w:val="clear" w:color="auto" w:fill="FFFFFF"/>
        </w:rPr>
      </w:pPr>
      <w:r>
        <w:rPr>
          <w:shd w:val="clear" w:color="auto" w:fill="FFFFFF"/>
        </w:rPr>
        <w:t xml:space="preserve">The primary analysis was to assess whether </w:t>
      </w:r>
      <w:r>
        <w:rPr>
          <w:shd w:val="clear" w:color="auto" w:fill="FFFFFF"/>
        </w:rPr>
        <w:t>post-Covid abortion care, where services were</w:t>
      </w:r>
      <w:r>
        <w:rPr>
          <w:shd w:val="clear" w:color="auto" w:fill="FFFFFF"/>
        </w:rPr>
        <w:t xml:space="preserve"> largely provided via telemedicine, was non-inferior to pre-Covid abortion care, where all women were asses</w:t>
      </w:r>
      <w:r>
        <w:rPr>
          <w:shd w:val="clear" w:color="auto" w:fill="FFFFFF"/>
        </w:rPr>
        <w:t>sed in person with ultrasound scans.  Non-inferiority is established by comparing effectiveness and safety, measured by significant adverse outcome r</w:t>
      </w:r>
      <w:r>
        <w:rPr>
          <w:shd w:val="clear" w:color="auto" w:fill="FFFFFF"/>
        </w:rPr>
        <w:t xml:space="preserve">ates.  We compared key demographic and clinical characteristics, establishing the need to covariate-adjust our outcome measures.  </w:t>
      </w:r>
    </w:p>
    <w:p w:rsidR="003552DE" w:rsidRDefault="00DE001E">
      <w:pPr>
        <w:rPr>
          <w:shd w:val="clear" w:color="auto" w:fill="FFFFFF"/>
        </w:rPr>
      </w:pPr>
      <w:r>
        <w:rPr>
          <w:shd w:val="clear" w:color="auto" w:fill="FFFFFF"/>
        </w:rPr>
        <w:t>We first evaluate efficacy by testing</w:t>
      </w:r>
      <w:r>
        <w:rPr>
          <w:shd w:val="clear" w:color="auto" w:fill="FFFFFF"/>
        </w:rPr>
        <w:t xml:space="preserve"> the hypothesis that the post-Covid period efficacy is lower than pre-period with a covariate-adjusted test of difference in proportions</w:t>
      </w:r>
      <w:r>
        <w:rPr>
          <w:shd w:val="clear" w:color="auto" w:fill="FFFFFF"/>
        </w:rPr>
        <w:t xml:space="preserve"> (did not find evidence of lower </w:t>
      </w:r>
      <w:r>
        <w:rPr>
          <w:shd w:val="clear" w:color="auto" w:fill="FFFFFF"/>
        </w:rPr>
        <w:lastRenderedPageBreak/>
        <w:t>post-Covid success rate, p=1.000)</w:t>
      </w:r>
      <w:r>
        <w:rPr>
          <w:shd w:val="clear" w:color="auto" w:fill="FFFFFF"/>
        </w:rPr>
        <w:t>.  We also performed a chi-squared test to evalu</w:t>
      </w:r>
      <w:r>
        <w:rPr>
          <w:shd w:val="clear" w:color="auto" w:fill="FFFFFF"/>
        </w:rPr>
        <w:t>ate whether the distribution of types of unsuccessful abortion outcomes (opted to continue pregnancy, surgical management of continuing pregnancy, surgical management of retained products) differed in the pre and post-Covid periods (no evidence that distri</w:t>
      </w:r>
      <w:r>
        <w:rPr>
          <w:shd w:val="clear" w:color="auto" w:fill="FFFFFF"/>
        </w:rPr>
        <w:t>butions were different, p=0.268</w:t>
      </w:r>
      <w:r>
        <w:rPr>
          <w:shd w:val="clear" w:color="auto" w:fill="FFFFFF"/>
        </w:rPr>
        <w:t>).</w:t>
      </w:r>
    </w:p>
    <w:p w:rsidR="003552DE" w:rsidRDefault="00DE001E">
      <w:pPr>
        <w:rPr>
          <w:shd w:val="clear" w:color="auto" w:fill="FFFFFF"/>
        </w:rPr>
      </w:pPr>
      <w:r>
        <w:rPr>
          <w:shd w:val="clear" w:color="auto" w:fill="FFFFFF"/>
        </w:rPr>
        <w:t>We then evaluate safety by assessing whether significant adverse events (haemorrhage requiring transfusion, infection requiring intravenous antibiotics, major surgery, death) occurred at higher rates in the post-Covid p</w:t>
      </w:r>
      <w:r>
        <w:rPr>
          <w:shd w:val="clear" w:color="auto" w:fill="FFFFFF"/>
        </w:rPr>
        <w:t xml:space="preserve">eriod.  We again use a covariate-adjusted hypothesis test for difference of proportions (no evidence that post-Covid adverse event outcome is higher, p=0.722).  We also compared covariate-adjusted significant outcomes rates (ectopic pregnancy, treatment </w:t>
      </w:r>
      <w:r>
        <w:rPr>
          <w:rFonts w:cstheme="minorHAnsi"/>
          <w:shd w:val="clear" w:color="auto" w:fill="FFFFFF"/>
        </w:rPr>
        <w:t>≥</w:t>
      </w:r>
      <w:r>
        <w:rPr>
          <w:shd w:val="clear" w:color="auto" w:fill="FFFFFF"/>
        </w:rPr>
        <w:t>1</w:t>
      </w:r>
      <w:r>
        <w:rPr>
          <w:shd w:val="clear" w:color="auto" w:fill="FFFFFF"/>
        </w:rPr>
        <w:t>0 weeks’ gestation) in the pre versus post-Covid periods (for ectopics, no evidence of difference in rates, p=0.769</w:t>
      </w:r>
      <w:r>
        <w:rPr>
          <w:shd w:val="clear" w:color="auto" w:fill="FFFFFF"/>
        </w:rPr>
        <w:t>; for large for gestation, p&lt;0.001, but unclear this is logical because there are no pre-period events</w:t>
      </w:r>
      <w:r>
        <w:rPr>
          <w:shd w:val="clear" w:color="auto" w:fill="FFFFFF"/>
        </w:rPr>
        <w:t>).  For ectopic pregnancies, we c</w:t>
      </w:r>
      <w:r>
        <w:rPr>
          <w:shd w:val="clear" w:color="auto" w:fill="FFFFFF"/>
        </w:rPr>
        <w:t>ompare the distribution of ectopic types (identified before the medical abortion, managed after the medical abortion) across the pre and post-Covid periods (p=0.008, there is evidence these differ).</w:t>
      </w:r>
    </w:p>
    <w:p w:rsidR="003552DE" w:rsidRDefault="00DE001E">
      <w:pPr>
        <w:rPr>
          <w:shd w:val="clear" w:color="auto" w:fill="FFFFFF"/>
        </w:rPr>
      </w:pPr>
      <w:r>
        <w:rPr>
          <w:shd w:val="clear" w:color="auto" w:fill="FFFFFF"/>
        </w:rPr>
        <w:t>The secondary analysis compares efficacy and safety of in</w:t>
      </w:r>
      <w:r>
        <w:rPr>
          <w:shd w:val="clear" w:color="auto" w:fill="FFFFFF"/>
        </w:rPr>
        <w:t>-person versus telemedicine patients in the post-Covid period.  We again evaluate demographic and clinical characteristic differences in groups, establishing the need for covariate-adjusted outcomes; however, these cohorts are fundamentally different despi</w:t>
      </w:r>
      <w:r>
        <w:rPr>
          <w:shd w:val="clear" w:color="auto" w:fill="FFFFFF"/>
        </w:rPr>
        <w:t>te covariate adjustment, as patients in the post-Covid period were directed to in-person treatment based on characteristics that would affect the outcome of their abortion.  We perform covariate-adjusted tests for equal effectiveness (result is evidence of</w:t>
      </w:r>
      <w:r>
        <w:rPr>
          <w:shd w:val="clear" w:color="auto" w:fill="FFFFFF"/>
        </w:rPr>
        <w:t xml:space="preserve"> unequal props, p&lt;0.001), and for equality of significant adverse outcome rates (result is no evidence rates differ, p=0.499), of in-person versus telemedicine cohorts in the post-Covid period.   </w:t>
      </w:r>
    </w:p>
    <w:p w:rsidR="003552DE" w:rsidRDefault="00DE001E">
      <w:pPr>
        <w:rPr>
          <w:shd w:val="clear" w:color="auto" w:fill="FFFFFF"/>
        </w:rPr>
      </w:pPr>
      <w:r>
        <w:rPr>
          <w:shd w:val="clear" w:color="auto" w:fill="FFFFFF"/>
        </w:rPr>
        <w:t>All data were provided from the providers’ clinical records</w:t>
      </w:r>
      <w:r>
        <w:rPr>
          <w:shd w:val="clear" w:color="auto" w:fill="FFFFFF"/>
        </w:rPr>
        <w:t xml:space="preserve"> systems, with all adverse incidents included up to six weeks after treatment.  All analysis was performed using</w:t>
      </w:r>
      <w:r>
        <w:rPr>
          <w:shd w:val="clear" w:color="auto" w:fill="FFFFFF"/>
        </w:rPr>
        <w:t xml:space="preserve"> R, version 3.6.2.</w:t>
      </w:r>
    </w:p>
    <w:p w:rsidR="003552DE" w:rsidRDefault="003552DE">
      <w:pPr>
        <w:rPr>
          <w:shd w:val="clear" w:color="auto" w:fill="FFFFFF"/>
        </w:rPr>
      </w:pPr>
    </w:p>
    <w:p w:rsidR="003552DE" w:rsidRDefault="003552DE">
      <w:pPr>
        <w:rPr>
          <w:shd w:val="clear" w:color="auto" w:fill="FFFFFF"/>
        </w:rPr>
      </w:pPr>
    </w:p>
    <w:p w:rsidR="003552DE" w:rsidRDefault="003552DE">
      <w:pPr>
        <w:rPr>
          <w:shd w:val="clear" w:color="auto" w:fill="FFFFFF"/>
        </w:rPr>
      </w:pPr>
    </w:p>
    <w:p w:rsidR="003552DE" w:rsidRDefault="00DE001E">
      <w:pPr>
        <w:rPr>
          <w:b/>
          <w:shd w:val="clear" w:color="auto" w:fill="FFFFFF"/>
        </w:rPr>
      </w:pPr>
      <w:r>
        <w:rPr>
          <w:b/>
          <w:shd w:val="clear" w:color="auto" w:fill="FFFFFF"/>
        </w:rPr>
        <w:t>Ethics Appr</w:t>
      </w:r>
      <w:r>
        <w:rPr>
          <w:b/>
          <w:shd w:val="clear" w:color="auto" w:fill="FFFFFF"/>
        </w:rPr>
        <w:t>oval</w:t>
      </w:r>
    </w:p>
    <w:p w:rsidR="003552DE" w:rsidRDefault="00DE001E">
      <w:pPr>
        <w:rPr>
          <w:shd w:val="clear" w:color="auto" w:fill="FFFFFF"/>
        </w:rPr>
      </w:pPr>
      <w:r>
        <w:fldChar w:fldCharType="begin"/>
      </w:r>
      <w:r>
        <w:rPr>
          <w:shd w:val="clear" w:color="auto" w:fill="FFFFFF"/>
        </w:rPr>
        <w:instrText xml:space="preserve">ADDIN EN.CITE &lt;EndNote&gt;&lt;Cite&gt;&lt;Author&gt;Research Ethics </w:instrText>
      </w:r>
      <w:r>
        <w:rPr>
          <w:shd w:val="clear" w:color="auto" w:fill="FFFFFF"/>
        </w:rPr>
        <w:instrText>Service&lt;/Author&gt;&lt;Year&gt;2017&lt;/Year&gt;&lt;RecNum&gt;1230&lt;/RecNum&gt;&lt;DisplayText&gt;&lt;style face="superscript"&gt;24&lt;/style&gt;&lt;/DisplayText&gt;&lt;record&gt;&lt;rec-number&gt;1230&lt;/rec-number&gt;&lt;foreign-keys&gt;&lt;key app="EN" db-id="5v5xpasrytpefpe52xr5a9vvtrww9ts0p9d9" timestamp="1598032758"&gt;1230&lt;/</w:instrText>
      </w:r>
      <w:r>
        <w:rPr>
          <w:shd w:val="clear" w:color="auto" w:fill="FFFFFF"/>
        </w:rPr>
        <w:instrText>key&gt;&lt;/foreign-keys&gt;&lt;ref-type name="Electronic Article"&gt;43&lt;/ref-type&gt;&lt;contributors&gt;&lt;authors&gt;&lt;author&gt;Research Ethics Service, &lt;/author&gt;&lt;/authors&gt;&lt;/contributors&gt;&lt;titles&gt;&lt;title&gt;Defining Research Table&lt;/title&gt;&lt;/titles&gt;&lt;dates&gt;&lt;year&gt;2017&lt;/year&gt;&lt;/dates&gt;&lt;pub-locati</w:instrText>
      </w:r>
      <w:r>
        <w:rPr>
          <w:shd w:val="clear" w:color="auto" w:fill="FFFFFF"/>
        </w:rPr>
        <w:instrText>on&gt;London&lt;/pub-location&gt;&lt;publisher&gt;NHS Health Research Authority, &lt;/publisher&gt;&lt;urls&gt;&lt;related-urls&gt;&lt;url&gt;http://www.hra-decisiontools.org.uk/research/docs/DefiningResearchTable_Oct2017-1.pdf&lt;/url&gt;&lt;/related-urls&gt;&lt;/urls&gt;&lt;/record&gt;&lt;/Cite&gt;&lt;/EndNote&gt;</w:instrText>
      </w:r>
      <w:r>
        <w:rPr>
          <w:shd w:val="clear" w:color="auto" w:fill="FFFFFF"/>
        </w:rPr>
        <w:fldChar w:fldCharType="separate"/>
      </w:r>
      <w:r>
        <w:rPr>
          <w:shd w:val="clear" w:color="auto" w:fill="FFFFFF"/>
          <w:vertAlign w:val="superscript"/>
        </w:rPr>
        <w:t>24</w:t>
      </w:r>
      <w:r>
        <w:rPr>
          <w:shd w:val="clear" w:color="auto" w:fill="FFFFFF"/>
        </w:rPr>
        <w:fldChar w:fldCharType="end"/>
      </w:r>
      <w:r>
        <w:fldChar w:fldCharType="begin"/>
      </w:r>
      <w:r>
        <w:rPr>
          <w:shd w:val="clear" w:color="auto" w:fill="FFFFFF"/>
        </w:rPr>
        <w:instrText>ADDIN EN.CITE &lt;EndNote&gt;&lt;Cite&gt;&lt;Author&gt;NHS Health Research Authority&lt;/Author&gt;&lt;Year&gt;2020&lt;/Year&gt;&lt;RecNum&gt;1229&lt;/RecNum&gt;&lt;DisplayText&gt;&lt;style face="superscript"&gt;25&lt;/style&gt;&lt;/DisplayText&gt;&lt;record&gt;&lt;r</w:instrText>
      </w:r>
      <w:r>
        <w:rPr>
          <w:shd w:val="clear" w:color="auto" w:fill="FFFFFF"/>
        </w:rPr>
        <w:instrText>ec-number&gt;1229&lt;/rec-number&gt;&lt;foreign-keys&gt;&lt;key app="EN" db-id="5v5xpasrytpefpe52xr5a9vvtrww9ts0p9d9" timestamp="1598031849"&gt;1229&lt;/key&gt;&lt;/foreign-keys&gt;&lt;ref-type name="Web Page"&gt;12&lt;/ref-type&gt;&lt;contributors&gt;&lt;authors&gt;&lt;author&gt;NHS Health Research Authority, &lt;/autho</w:instrText>
      </w:r>
      <w:r>
        <w:rPr>
          <w:shd w:val="clear" w:color="auto" w:fill="FFFFFF"/>
        </w:rPr>
        <w:instrText>r&gt;&lt;/authors&gt;&lt;secondary-authors&gt;&lt;author&gt;NHS Health Research Authority, &lt;/author&gt;&lt;/secondary-authors&gt;&lt;/contributors&gt;&lt;titles&gt;&lt;title&gt;Do I need NHS REC review?&lt;/title&gt;&lt;/titles&gt;&lt;volume&gt;2020&lt;/volume&gt;&lt;number&gt;08/25/2020&lt;/number&gt;&lt;dates&gt;&lt;year&gt;2020&lt;/year&gt;&lt;/dates&gt;&lt;pub-</w:instrText>
      </w:r>
      <w:r>
        <w:rPr>
          <w:shd w:val="clear" w:color="auto" w:fill="FFFFFF"/>
        </w:rPr>
        <w:instrText>location&gt;London&lt;/pub-location&gt;&lt;publisher&gt;NHS Health Research Authority, &lt;/publisher&gt;&lt;urls&gt;&lt;related-urls&gt;&lt;url&gt;http://www.hra-decisiontools.org.uk/ethics/&lt;/url&gt;&lt;/related-urls&gt;&lt;/urls&gt;&lt;/record&gt;&lt;/Cite&gt;&lt;/EndNote&gt;</w:instrText>
      </w:r>
      <w:r>
        <w:rPr>
          <w:shd w:val="clear" w:color="auto" w:fill="FFFFFF"/>
        </w:rPr>
        <w:fldChar w:fldCharType="separate"/>
      </w:r>
      <w:r>
        <w:rPr>
          <w:shd w:val="clear" w:color="auto" w:fill="FFFFFF"/>
          <w:vertAlign w:val="superscript"/>
        </w:rPr>
        <w:t>25</w:t>
      </w:r>
      <w:r>
        <w:rPr>
          <w:shd w:val="clear" w:color="auto" w:fill="FFFFFF"/>
        </w:rPr>
        <w:fldChar w:fldCharType="end"/>
      </w:r>
      <w:r>
        <w:rPr>
          <w:shd w:val="clear" w:color="auto" w:fill="FFFFFF"/>
        </w:rPr>
        <w:t>The Office of Research Support &amp; Compliance (RSC) at the University of Texas assessed the trial protocol and determined the research did not meet the criteria for human subjects research a</w:t>
      </w:r>
      <w:r>
        <w:rPr>
          <w:shd w:val="clear" w:color="auto" w:fill="FFFFFF"/>
        </w:rPr>
        <w:t xml:space="preserve">s defined in the Common Rule (45 CFR 46) or FDA Regulations (21 CFR 56) and that Institutional Review Board (IRB) review and oversight was not required.   </w:t>
      </w:r>
      <w:r>
        <w:rPr>
          <w:shd w:val="clear" w:color="auto" w:fill="FFFFFF"/>
        </w:rPr>
        <w:t xml:space="preserve">Each provider ensured their own governance systems were followed.   </w:t>
      </w:r>
    </w:p>
    <w:p w:rsidR="003552DE" w:rsidRDefault="003552DE">
      <w:pPr>
        <w:rPr>
          <w:shd w:val="clear" w:color="auto" w:fill="FFFFFF"/>
        </w:rPr>
      </w:pPr>
    </w:p>
    <w:p w:rsidR="003552DE" w:rsidRDefault="003552DE">
      <w:pPr>
        <w:rPr>
          <w:shd w:val="clear" w:color="auto" w:fill="FFFFFF"/>
        </w:rPr>
      </w:pPr>
    </w:p>
    <w:p w:rsidR="003552DE" w:rsidRDefault="00DE001E">
      <w:pPr>
        <w:rPr>
          <w:b/>
          <w:sz w:val="28"/>
          <w:szCs w:val="28"/>
        </w:rPr>
      </w:pPr>
      <w:r>
        <w:rPr>
          <w:b/>
          <w:sz w:val="28"/>
          <w:szCs w:val="28"/>
        </w:rPr>
        <w:t>Results</w:t>
      </w:r>
    </w:p>
    <w:p w:rsidR="003552DE" w:rsidRDefault="00DE001E">
      <w:pPr>
        <w:rPr>
          <w:shd w:val="clear" w:color="auto" w:fill="FFFFFF"/>
        </w:rPr>
      </w:pPr>
      <w:r>
        <w:rPr>
          <w:shd w:val="clear" w:color="auto" w:fill="FFFFFF"/>
        </w:rPr>
        <w:t>In total</w:t>
      </w:r>
      <w:r>
        <w:t xml:space="preserve"> 52,14</w:t>
      </w:r>
      <w:r>
        <w:t xml:space="preserve">2 medical abortions </w:t>
      </w:r>
      <w:r>
        <w:t xml:space="preserve">were </w:t>
      </w:r>
      <w:r>
        <w:t>accessed</w:t>
      </w:r>
      <w:r>
        <w:t xml:space="preserve"> in the periods of interest</w:t>
      </w:r>
      <w:r>
        <w:t>;</w:t>
      </w:r>
      <w:r>
        <w:t xml:space="preserve"> </w:t>
      </w:r>
      <w:r>
        <w:t xml:space="preserve">22,158 </w:t>
      </w:r>
      <w:r>
        <w:t>in the</w:t>
      </w:r>
      <w:r>
        <w:t xml:space="preserve"> pre-telemedicine </w:t>
      </w:r>
      <w:r>
        <w:t xml:space="preserve">group </w:t>
      </w:r>
      <w:r>
        <w:t xml:space="preserve">and </w:t>
      </w:r>
      <w:r>
        <w:t xml:space="preserve">29,984 </w:t>
      </w:r>
      <w:r>
        <w:t>in the post-</w:t>
      </w:r>
      <w:r>
        <w:t xml:space="preserve">telemedicine </w:t>
      </w:r>
      <w:r>
        <w:t>group</w:t>
      </w:r>
      <w:r>
        <w:t>.</w:t>
      </w:r>
      <w:r>
        <w:t xml:space="preserve"> </w:t>
      </w:r>
      <w:r>
        <w:t xml:space="preserve">   </w:t>
      </w:r>
      <w:r>
        <w:t xml:space="preserve">Of those </w:t>
      </w:r>
      <w:r>
        <w:t>accessed after the approvals</w:t>
      </w:r>
      <w:r>
        <w:t xml:space="preserve">, </w:t>
      </w:r>
      <w:r>
        <w:t xml:space="preserve">18,435 </w:t>
      </w:r>
      <w:r>
        <w:t>(</w:t>
      </w:r>
      <w:r>
        <w:t>61.5%</w:t>
      </w:r>
      <w:r>
        <w:t xml:space="preserve">) </w:t>
      </w:r>
      <w:r>
        <w:t>were via</w:t>
      </w:r>
      <w:r>
        <w:t xml:space="preserve"> telemedicine </w:t>
      </w:r>
      <w:r>
        <w:t xml:space="preserve">and </w:t>
      </w:r>
      <w:r>
        <w:t xml:space="preserve"> </w:t>
      </w:r>
      <w:r>
        <w:t>and 11,549</w:t>
      </w:r>
      <w:r>
        <w:t xml:space="preserve"> (38.5%)</w:t>
      </w:r>
      <w:r>
        <w:t xml:space="preserve"> </w:t>
      </w:r>
      <w:r>
        <w:t xml:space="preserve"> </w:t>
      </w:r>
      <w:r>
        <w:t xml:space="preserve">with </w:t>
      </w:r>
      <w:r>
        <w:t>in-person care</w:t>
      </w:r>
      <w:r>
        <w:t xml:space="preserve">.   </w:t>
      </w:r>
      <w:r>
        <w:rPr>
          <w:shd w:val="clear" w:color="auto" w:fill="FFFFFF"/>
        </w:rPr>
        <w:t xml:space="preserve"> </w:t>
      </w:r>
      <w:r>
        <w:rPr>
          <w:shd w:val="clear" w:color="auto" w:fill="FFFFFF"/>
        </w:rPr>
        <w:t xml:space="preserve">.   Together this </w:t>
      </w:r>
      <w:r>
        <w:t xml:space="preserve">sample </w:t>
      </w:r>
      <w:r>
        <w:t>represents</w:t>
      </w:r>
      <w:r>
        <w:rPr>
          <w:shd w:val="clear" w:color="auto" w:fill="FFFFFF"/>
        </w:rPr>
        <w:t xml:space="preserve"> </w:t>
      </w:r>
      <w:r>
        <w:t>8</w:t>
      </w:r>
      <w:r>
        <w:t>5</w:t>
      </w:r>
      <w:r>
        <w:rPr>
          <w:shd w:val="clear" w:color="auto" w:fill="FFFFFF"/>
        </w:rPr>
        <w:t>%</w:t>
      </w:r>
      <w:r>
        <w:rPr>
          <w:shd w:val="clear" w:color="auto" w:fill="FFFFFF"/>
        </w:rPr>
        <w:t xml:space="preserve"> of the total number of </w:t>
      </w:r>
      <w:r>
        <w:t xml:space="preserve">medical abortions </w:t>
      </w:r>
      <w:r>
        <w:rPr>
          <w:shd w:val="clear" w:color="auto" w:fill="FFFFFF"/>
        </w:rPr>
        <w:t xml:space="preserve">performed in </w:t>
      </w:r>
      <w:r>
        <w:rPr>
          <w:shd w:val="clear" w:color="auto" w:fill="FFFFFF"/>
        </w:rPr>
        <w:t>England and Wales</w:t>
      </w:r>
      <w:r>
        <w:t xml:space="preserve"> over this period.</w:t>
      </w:r>
      <w:r>
        <w:fldChar w:fldCharType="begin"/>
      </w:r>
      <w:r>
        <w:instrText>ADDIN EN.CITE &lt;EndNote&gt;&lt;Cite&gt;&lt;Author&gt;Department of Health &amp;amp; Social Care (DHSC)&lt;/Author&gt;&lt;Year&gt;2020&lt;/Year&gt;&lt;RecNum&gt;1245&lt;/RecNum&gt;&lt;DisplayText&gt;&lt;style face="superscript"&gt;26&lt;/style&gt;&lt;/DisplayText&gt;&lt;record&gt;&lt;rec-number&gt;1245&lt;/rec</w:instrText>
      </w:r>
      <w:r>
        <w:instrText>-number&gt;&lt;foreign-keys&gt;&lt;key app="EN" db-id="5v5xpasrytpefpe52xr5a9vvtrww9ts0p9d9" timestamp="1599908786"&gt;1245&lt;/key&gt;&lt;/foreign-keys&gt;&lt;ref-type name="Government Document"&gt;46&lt;/ref-type&gt;&lt;contributors&gt;&lt;authors&gt;&lt;author&gt;Department of Health &amp;amp; Social Care (DHSC),</w:instrText>
      </w:r>
      <w:r>
        <w:instrText xml:space="preserve"> &lt;/author&gt;&lt;/authors&gt;&lt;secondary-authors&gt;&lt;author&gt;Department of Health &amp;amp; Social Care (DHSC), &lt;/author&gt;&lt;/secondary-authors&gt;&lt;/contributors&gt;&lt;titles&gt;&lt;title&gt;Abortion statistics during COVID-19: data tables&lt;/title&gt;&lt;/titles&gt;&lt;dates&gt;&lt;year&gt;2020&lt;/year&gt;&lt;/dates&gt;&lt;pub-l</w:instrText>
      </w:r>
      <w:r>
        <w:instrText>ocation&gt;London&lt;/pub-location&gt;&lt;publisher&gt;UK Government&lt;/publisher&gt;&lt;urls&gt;&lt;related-urls&gt;&lt;url&gt;https://assets.publishing.service.gov.uk/government/uploads/system/uploads/attachment_data/file/915816/COVID_tables_FINAL.ods&lt;/url&gt;&lt;/related-urls&gt;&lt;/urls&gt;&lt;/record&gt;&lt;/Ci</w:instrText>
      </w:r>
      <w:r>
        <w:instrText>te&gt;&lt;/EndNote&gt;</w:instrText>
      </w:r>
      <w:r>
        <w:fldChar w:fldCharType="separate"/>
      </w:r>
      <w:r>
        <w:rPr>
          <w:shd w:val="clear" w:color="auto" w:fill="FFFFFF"/>
          <w:vertAlign w:val="superscript"/>
        </w:rPr>
        <w:t>26</w:t>
      </w:r>
      <w:r>
        <w:fldChar w:fldCharType="end"/>
      </w:r>
      <w:r>
        <w:t xml:space="preserve">   </w:t>
      </w:r>
    </w:p>
    <w:p w:rsidR="003552DE" w:rsidRDefault="003552DE">
      <w:pPr>
        <w:rPr>
          <w:shd w:val="clear" w:color="auto" w:fill="FFFFFF"/>
        </w:rPr>
      </w:pPr>
    </w:p>
    <w:p w:rsidR="003552DE" w:rsidRDefault="00DE001E">
      <w:pPr>
        <w:rPr>
          <w:b/>
          <w:shd w:val="clear" w:color="auto" w:fill="FFFFFF"/>
        </w:rPr>
      </w:pPr>
      <w:r>
        <w:rPr>
          <w:b/>
          <w:shd w:val="clear" w:color="auto" w:fill="FFFFFF"/>
        </w:rPr>
        <w:t xml:space="preserve">Clinical and </w:t>
      </w:r>
      <w:r>
        <w:rPr>
          <w:b/>
          <w:shd w:val="clear" w:color="auto" w:fill="FFFFFF"/>
        </w:rPr>
        <w:t>Demographic</w:t>
      </w:r>
      <w:r>
        <w:rPr>
          <w:b/>
          <w:shd w:val="clear" w:color="auto" w:fill="FFFFFF"/>
        </w:rPr>
        <w:t xml:space="preserve"> </w:t>
      </w:r>
      <w:r>
        <w:rPr>
          <w:b/>
          <w:shd w:val="clear" w:color="auto" w:fill="FFFFFF"/>
        </w:rPr>
        <w:t>Characteristics</w:t>
      </w:r>
    </w:p>
    <w:p w:rsidR="003552DE" w:rsidRDefault="00DE001E">
      <w:pPr>
        <w:rPr>
          <w:shd w:val="clear" w:color="auto" w:fill="FFFFFF"/>
        </w:rPr>
      </w:pPr>
      <w:r>
        <w:rPr>
          <w:shd w:val="clear" w:color="auto" w:fill="FFFFFF"/>
        </w:rPr>
        <w:t xml:space="preserve">Clinical and </w:t>
      </w:r>
      <w:r>
        <w:rPr>
          <w:shd w:val="clear" w:color="auto" w:fill="FFFFFF"/>
        </w:rPr>
        <w:t>demographic characteristics are described in</w:t>
      </w:r>
      <w:r>
        <w:rPr>
          <w:shd w:val="clear" w:color="auto" w:fill="FFFFFF"/>
        </w:rPr>
        <w:t xml:space="preserve"> </w:t>
      </w:r>
      <w:r>
        <w:rPr>
          <w:shd w:val="clear" w:color="auto" w:fill="FFFFFF"/>
        </w:rPr>
        <w:t>T</w:t>
      </w:r>
      <w:r>
        <w:rPr>
          <w:shd w:val="clear" w:color="auto" w:fill="FFFFFF"/>
        </w:rPr>
        <w:t>able 1</w:t>
      </w:r>
      <w:r>
        <w:rPr>
          <w:shd w:val="clear" w:color="auto" w:fill="FFFFFF"/>
        </w:rPr>
        <w:t xml:space="preserve">.   </w:t>
      </w:r>
      <w:r>
        <w:rPr>
          <w:shd w:val="clear" w:color="auto" w:fill="FFFFFF"/>
        </w:rPr>
        <w:t xml:space="preserve">The </w:t>
      </w:r>
      <w:r>
        <w:rPr>
          <w:shd w:val="clear" w:color="auto" w:fill="FFFFFF"/>
        </w:rPr>
        <w:t xml:space="preserve">mean age in the </w:t>
      </w:r>
      <w:r>
        <w:rPr>
          <w:shd w:val="clear" w:color="auto" w:fill="FFFFFF"/>
        </w:rPr>
        <w:t xml:space="preserve">telemedicine pathway </w:t>
      </w:r>
      <w:r>
        <w:rPr>
          <w:shd w:val="clear" w:color="auto" w:fill="FFFFFF"/>
        </w:rPr>
        <w:t>was 28</w:t>
      </w:r>
      <w:r>
        <w:rPr>
          <w:shd w:val="clear" w:color="auto" w:fill="FFFFFF"/>
        </w:rPr>
        <w:t>.5 compared to 27.8 in the</w:t>
      </w:r>
      <w:r>
        <w:rPr>
          <w:shd w:val="clear" w:color="auto" w:fill="FFFFFF"/>
        </w:rPr>
        <w:t xml:space="preserve"> traditional pathway</w:t>
      </w:r>
      <w:r>
        <w:rPr>
          <w:shd w:val="clear" w:color="auto" w:fill="FFFFFF"/>
        </w:rPr>
        <w:t>.   There was a cor</w:t>
      </w:r>
      <w:r>
        <w:rPr>
          <w:shd w:val="clear" w:color="auto" w:fill="FFFFFF"/>
        </w:rPr>
        <w:t xml:space="preserve">responding higher level of past pregnancies in the </w:t>
      </w:r>
      <w:r>
        <w:rPr>
          <w:shd w:val="clear" w:color="auto" w:fill="FFFFFF"/>
        </w:rPr>
        <w:t xml:space="preserve">telemedicine </w:t>
      </w:r>
      <w:r>
        <w:rPr>
          <w:shd w:val="clear" w:color="auto" w:fill="FFFFFF"/>
        </w:rPr>
        <w:t xml:space="preserve">cohort (44% had a previous abortion compared to </w:t>
      </w:r>
      <w:r>
        <w:rPr>
          <w:shd w:val="clear" w:color="auto" w:fill="FFFFFF"/>
        </w:rPr>
        <w:t xml:space="preserve">41%; 61% had a previous birth compared to 54%).   </w:t>
      </w:r>
      <w:r>
        <w:rPr>
          <w:shd w:val="clear" w:color="auto" w:fill="FFFFFF"/>
        </w:rPr>
        <w:t xml:space="preserve">All differences are </w:t>
      </w:r>
      <w:r>
        <w:rPr>
          <w:shd w:val="clear" w:color="auto" w:fill="FFFFFF"/>
        </w:rPr>
        <w:t xml:space="preserve">controlled for in the analyses of effectiveness.   </w:t>
      </w:r>
      <w:r>
        <w:rPr>
          <w:shd w:val="clear" w:color="auto" w:fill="FFFFFF"/>
        </w:rPr>
        <w:t>Mean w</w:t>
      </w:r>
      <w:r>
        <w:rPr>
          <w:shd w:val="clear" w:color="auto" w:fill="FFFFFF"/>
        </w:rPr>
        <w:t xml:space="preserve">aiting time to treatment </w:t>
      </w:r>
      <w:r>
        <w:rPr>
          <w:shd w:val="clear" w:color="auto" w:fill="FFFFFF"/>
        </w:rPr>
        <w:t>was</w:t>
      </w:r>
      <w:r>
        <w:rPr>
          <w:shd w:val="clear" w:color="auto" w:fill="FFFFFF"/>
        </w:rPr>
        <w:t xml:space="preserve"> </w:t>
      </w:r>
      <w:r>
        <w:rPr>
          <w:shd w:val="clear" w:color="auto" w:fill="FFFFFF"/>
        </w:rPr>
        <w:t xml:space="preserve">declined from </w:t>
      </w:r>
      <w:r>
        <w:rPr>
          <w:shd w:val="clear" w:color="auto" w:fill="FFFFFF"/>
        </w:rPr>
        <w:t>10.7 (SD 19.9) days pre-telemedicin</w:t>
      </w:r>
      <w:r>
        <w:rPr>
          <w:shd w:val="clear" w:color="auto" w:fill="FFFFFF"/>
        </w:rPr>
        <w:t xml:space="preserve">e to 6.5 days (SD 13.5) </w:t>
      </w:r>
      <w:r>
        <w:rPr>
          <w:shd w:val="clear" w:color="auto" w:fill="FFFFFF"/>
        </w:rPr>
        <w:t>days post-telemedicine (p&lt;0.001). Me</w:t>
      </w:r>
      <w:r>
        <w:rPr>
          <w:shd w:val="clear" w:color="auto" w:fill="FFFFFF"/>
        </w:rPr>
        <w:t>an g</w:t>
      </w:r>
      <w:r>
        <w:rPr>
          <w:shd w:val="clear" w:color="auto" w:fill="FFFFFF"/>
        </w:rPr>
        <w:t xml:space="preserve">estational age at treatment also </w:t>
      </w:r>
      <w:r>
        <w:rPr>
          <w:shd w:val="clear" w:color="auto" w:fill="FFFFFF"/>
        </w:rPr>
        <w:t>declined</w:t>
      </w:r>
      <w:r>
        <w:rPr>
          <w:shd w:val="clear" w:color="auto" w:fill="FFFFFF"/>
        </w:rPr>
        <w:t xml:space="preserve"> post-telemedicine</w:t>
      </w:r>
      <w:r>
        <w:rPr>
          <w:shd w:val="clear" w:color="auto" w:fill="FFFFFF"/>
        </w:rPr>
        <w:t xml:space="preserve"> resulting in a higher proportion of abortions performed at 6 weeks’ gestat</w:t>
      </w:r>
      <w:r>
        <w:rPr>
          <w:shd w:val="clear" w:color="auto" w:fill="FFFFFF"/>
        </w:rPr>
        <w:t>ion or less (25.2% pre-telemedicine vs. 39.8% post-telemedicine, p&lt;0.001).</w:t>
      </w:r>
      <w:r>
        <w:rPr>
          <w:shd w:val="clear" w:color="auto" w:fill="FFFFFF"/>
        </w:rPr>
        <w:t xml:space="preserve"> </w:t>
      </w:r>
    </w:p>
    <w:p w:rsidR="003552DE" w:rsidRDefault="00DE001E">
      <w:pPr>
        <w:rPr>
          <w:shd w:val="clear" w:color="auto" w:fill="FFFFFF"/>
        </w:rPr>
      </w:pPr>
      <w:r>
        <w:rPr>
          <w:shd w:val="clear" w:color="auto" w:fill="FFFFFF"/>
        </w:rPr>
        <w:t xml:space="preserve">Waiting times to treatment in the post-telemedicine </w:t>
      </w:r>
      <w:r>
        <w:rPr>
          <w:shd w:val="clear" w:color="auto" w:fill="FFFFFF"/>
        </w:rPr>
        <w:t xml:space="preserve">period </w:t>
      </w:r>
      <w:r>
        <w:rPr>
          <w:shd w:val="clear" w:color="auto" w:fill="FFFFFF"/>
        </w:rPr>
        <w:t xml:space="preserve"> </w:t>
      </w:r>
    </w:p>
    <w:p w:rsidR="003552DE" w:rsidRDefault="00DE001E">
      <w:pPr>
        <w:rPr>
          <w:b/>
          <w:shd w:val="clear" w:color="auto" w:fill="FFFFFF"/>
        </w:rPr>
      </w:pPr>
      <w:r>
        <w:rPr>
          <w:b/>
          <w:shd w:val="clear" w:color="auto" w:fill="FFFFFF"/>
        </w:rPr>
        <w:t>Effectiveness</w:t>
      </w:r>
    </w:p>
    <w:p w:rsidR="003552DE" w:rsidRDefault="00DE001E">
      <w:pPr>
        <w:rPr>
          <w:shd w:val="clear" w:color="auto" w:fill="FFFFFF"/>
        </w:rPr>
      </w:pPr>
      <w:r>
        <w:rPr>
          <w:shd w:val="clear" w:color="auto" w:fill="FFFFFF"/>
        </w:rPr>
        <w:t>Results for the primary-outcom</w:t>
      </w:r>
      <w:r>
        <w:rPr>
          <w:shd w:val="clear" w:color="auto" w:fill="FFFFFF"/>
        </w:rPr>
        <w:t>e analysis (successful medical abortion)</w:t>
      </w:r>
      <w:r>
        <w:rPr>
          <w:shd w:val="clear" w:color="auto" w:fill="FFFFFF"/>
        </w:rPr>
        <w:t>,</w:t>
      </w:r>
      <w:r>
        <w:rPr>
          <w:shd w:val="clear" w:color="auto" w:fill="FFFFFF"/>
        </w:rPr>
        <w:t xml:space="preserve"> </w:t>
      </w:r>
      <w:r>
        <w:rPr>
          <w:shd w:val="clear" w:color="auto" w:fill="FFFFFF"/>
        </w:rPr>
        <w:t xml:space="preserve">adjusted for clinical and demographic characteristics, </w:t>
      </w:r>
      <w:r>
        <w:rPr>
          <w:shd w:val="clear" w:color="auto" w:fill="FFFFFF"/>
        </w:rPr>
        <w:t>are detailed in Table 2</w:t>
      </w:r>
      <w:r>
        <w:rPr>
          <w:shd w:val="clear" w:color="auto" w:fill="FFFFFF"/>
        </w:rPr>
        <w:t xml:space="preserve">. </w:t>
      </w:r>
      <w:r>
        <w:rPr>
          <w:shd w:val="clear" w:color="auto" w:fill="FFFFFF"/>
        </w:rPr>
        <w:t>The o</w:t>
      </w:r>
      <w:r>
        <w:rPr>
          <w:shd w:val="clear" w:color="auto" w:fill="FFFFFF"/>
        </w:rPr>
        <w:t>verall</w:t>
      </w:r>
      <w:r>
        <w:rPr>
          <w:shd w:val="clear" w:color="auto" w:fill="FFFFFF"/>
        </w:rPr>
        <w:t xml:space="preserve"> success rate was high and not </w:t>
      </w:r>
      <w:r>
        <w:rPr>
          <w:shd w:val="clear" w:color="auto" w:fill="FFFFFF"/>
        </w:rPr>
        <w:t>lower in the post-Covid group</w:t>
      </w:r>
      <w:r>
        <w:rPr>
          <w:shd w:val="clear" w:color="auto" w:fill="FFFFFF"/>
        </w:rPr>
        <w:t xml:space="preserve"> (</w:t>
      </w:r>
      <w:r>
        <w:rPr>
          <w:shd w:val="clear" w:color="auto" w:fill="FFFFFF"/>
        </w:rPr>
        <w:t xml:space="preserve">98.2% </w:t>
      </w:r>
      <w:r>
        <w:rPr>
          <w:shd w:val="clear" w:color="auto" w:fill="FFFFFF"/>
        </w:rPr>
        <w:t>vs.</w:t>
      </w:r>
      <w:r>
        <w:rPr>
          <w:shd w:val="clear" w:color="auto" w:fill="FFFFFF"/>
        </w:rPr>
        <w:t xml:space="preserve"> 98.8% </w:t>
      </w:r>
      <w:r>
        <w:rPr>
          <w:shd w:val="clear" w:color="auto" w:fill="FFFFFF"/>
        </w:rPr>
        <w:t xml:space="preserve">p=1.0). </w:t>
      </w:r>
      <w:r>
        <w:rPr>
          <w:shd w:val="clear" w:color="auto" w:fill="FFFFFF"/>
        </w:rPr>
        <w:t xml:space="preserve">The distribution of types of failure (continuing pregnancy with or without surgical evacuation or surgical intervention for retained </w:t>
      </w:r>
      <w:r>
        <w:rPr>
          <w:shd w:val="clear" w:color="auto" w:fill="FFFFFF"/>
        </w:rPr>
        <w:t>products of conception</w:t>
      </w:r>
      <w:r>
        <w:rPr>
          <w:shd w:val="clear" w:color="auto" w:fill="FFFFFF"/>
        </w:rPr>
        <w:t>)</w:t>
      </w:r>
      <w:r>
        <w:rPr>
          <w:shd w:val="clear" w:color="auto" w:fill="FFFFFF"/>
        </w:rPr>
        <w:t xml:space="preserve"> also did not</w:t>
      </w:r>
      <w:r>
        <w:rPr>
          <w:shd w:val="clear" w:color="auto" w:fill="FFFFFF"/>
        </w:rPr>
        <w:t xml:space="preserve"> differ </w:t>
      </w:r>
      <w:r>
        <w:rPr>
          <w:shd w:val="clear" w:color="auto" w:fill="FFFFFF"/>
        </w:rPr>
        <w:t>before and after implementation of telemedicine (p=0.26</w:t>
      </w:r>
      <w:r>
        <w:rPr>
          <w:shd w:val="clear" w:color="auto" w:fill="FFFFFF"/>
        </w:rPr>
        <w:t xml:space="preserve">). </w:t>
      </w:r>
      <w:r>
        <w:rPr>
          <w:shd w:val="clear" w:color="auto" w:fill="FFFFFF"/>
        </w:rPr>
        <w:t xml:space="preserve"> </w:t>
      </w:r>
    </w:p>
    <w:p w:rsidR="003552DE" w:rsidRDefault="00DE001E">
      <w:pPr>
        <w:rPr>
          <w:shd w:val="clear" w:color="auto" w:fill="FFFFFF"/>
        </w:rPr>
      </w:pPr>
      <w:r>
        <w:rPr>
          <w:shd w:val="clear" w:color="auto" w:fill="FFFFFF"/>
        </w:rPr>
        <w:t>T</w:t>
      </w:r>
      <w:r>
        <w:rPr>
          <w:shd w:val="clear" w:color="auto" w:fill="FFFFFF"/>
        </w:rPr>
        <w:t xml:space="preserve">reatment success </w:t>
      </w:r>
      <w:r>
        <w:rPr>
          <w:shd w:val="clear" w:color="auto" w:fill="FFFFFF"/>
        </w:rPr>
        <w:t xml:space="preserve">between telemedical and in-person </w:t>
      </w:r>
      <w:r>
        <w:rPr>
          <w:shd w:val="clear" w:color="auto" w:fill="FFFFFF"/>
        </w:rPr>
        <w:t xml:space="preserve">medical </w:t>
      </w:r>
      <w:r>
        <w:rPr>
          <w:shd w:val="clear" w:color="auto" w:fill="FFFFFF"/>
        </w:rPr>
        <w:t>abortion</w:t>
      </w:r>
      <w:r>
        <w:rPr>
          <w:shd w:val="clear" w:color="auto" w:fill="FFFFFF"/>
        </w:rPr>
        <w:t>s provided</w:t>
      </w:r>
      <w:r>
        <w:rPr>
          <w:shd w:val="clear" w:color="auto" w:fill="FFFFFF"/>
        </w:rPr>
        <w:t xml:space="preserve"> in the post-telemedicine period </w:t>
      </w:r>
    </w:p>
    <w:p w:rsidR="003552DE" w:rsidRDefault="00DE001E">
      <w:pPr>
        <w:rPr>
          <w:b/>
          <w:shd w:val="clear" w:color="auto" w:fill="FFFFFF"/>
        </w:rPr>
      </w:pPr>
      <w:r>
        <w:rPr>
          <w:b/>
          <w:shd w:val="clear" w:color="auto" w:fill="FFFFFF"/>
        </w:rPr>
        <w:t>Serious Adverse Events</w:t>
      </w:r>
    </w:p>
    <w:p w:rsidR="003552DE" w:rsidRDefault="00DE001E">
      <w:pPr>
        <w:rPr>
          <w:shd w:val="clear" w:color="auto" w:fill="FFFFFF"/>
        </w:rPr>
      </w:pPr>
      <w:r>
        <w:rPr>
          <w:shd w:val="clear" w:color="auto" w:fill="FFFFFF"/>
        </w:rPr>
        <w:t>Serious</w:t>
      </w:r>
      <w:r>
        <w:rPr>
          <w:shd w:val="clear" w:color="auto" w:fill="FFFFFF"/>
        </w:rPr>
        <w:t xml:space="preserve"> adverse </w:t>
      </w:r>
      <w:r>
        <w:rPr>
          <w:shd w:val="clear" w:color="auto" w:fill="FFFFFF"/>
        </w:rPr>
        <w:t>events</w:t>
      </w:r>
      <w:r>
        <w:rPr>
          <w:shd w:val="clear" w:color="auto" w:fill="FFFFFF"/>
        </w:rPr>
        <w:t xml:space="preserve"> (SAEs)</w:t>
      </w:r>
      <w:r>
        <w:rPr>
          <w:shd w:val="clear" w:color="auto" w:fill="FFFFFF"/>
        </w:rPr>
        <w:t xml:space="preserve"> were rare and </w:t>
      </w:r>
      <w:r>
        <w:rPr>
          <w:shd w:val="clear" w:color="auto" w:fill="FFFFFF"/>
        </w:rPr>
        <w:t>not higher in the post-Covid group</w:t>
      </w:r>
      <w:r>
        <w:rPr>
          <w:shd w:val="clear" w:color="auto" w:fill="FFFFFF"/>
        </w:rPr>
        <w:t xml:space="preserve"> </w:t>
      </w:r>
      <w:r>
        <w:rPr>
          <w:shd w:val="clear" w:color="auto" w:fill="FFFFFF"/>
        </w:rPr>
        <w:t>(</w:t>
      </w:r>
      <w:r>
        <w:rPr>
          <w:shd w:val="clear" w:color="auto" w:fill="FFFFFF"/>
        </w:rPr>
        <w:t>T</w:t>
      </w:r>
      <w:r>
        <w:rPr>
          <w:shd w:val="clear" w:color="auto" w:fill="FFFFFF"/>
        </w:rPr>
        <w:t xml:space="preserve">able 3).   </w:t>
      </w:r>
      <w:r>
        <w:rPr>
          <w:shd w:val="clear" w:color="auto" w:fill="FFFFFF"/>
        </w:rPr>
        <w:t>Haemorrhage requiring transfusion was reported in 0.04% of cases pre-</w:t>
      </w:r>
      <w:r>
        <w:rPr>
          <w:shd w:val="clear" w:color="auto" w:fill="FFFFFF"/>
        </w:rPr>
        <w:t>Covid</w:t>
      </w:r>
      <w:r>
        <w:rPr>
          <w:shd w:val="clear" w:color="auto" w:fill="FFFFFF"/>
        </w:rPr>
        <w:t xml:space="preserve"> and 0.08% post-</w:t>
      </w:r>
      <w:r>
        <w:rPr>
          <w:shd w:val="clear" w:color="auto" w:fill="FFFFFF"/>
        </w:rPr>
        <w:t>Covid</w:t>
      </w:r>
      <w:r>
        <w:rPr>
          <w:shd w:val="clear" w:color="auto" w:fill="FFFFFF"/>
        </w:rPr>
        <w:t xml:space="preserve"> (p=0.56) but no other SAEs </w:t>
      </w:r>
      <w:r>
        <w:rPr>
          <w:shd w:val="clear" w:color="auto" w:fill="FFFFFF"/>
        </w:rPr>
        <w:t>including the need for IV antibiot</w:t>
      </w:r>
      <w:r>
        <w:rPr>
          <w:shd w:val="clear" w:color="auto" w:fill="FFFFFF"/>
        </w:rPr>
        <w:t xml:space="preserve">ics, major surgery or death. </w:t>
      </w:r>
      <w:r>
        <w:rPr>
          <w:shd w:val="clear" w:color="auto" w:fill="FFFFFF"/>
        </w:rPr>
        <w:t xml:space="preserve"> </w:t>
      </w:r>
      <w:r>
        <w:rPr>
          <w:shd w:val="clear" w:color="auto" w:fill="FFFFFF"/>
        </w:rPr>
        <w:t xml:space="preserve"> </w:t>
      </w:r>
    </w:p>
    <w:p w:rsidR="003552DE" w:rsidRDefault="00DE001E">
      <w:pPr>
        <w:rPr>
          <w:b/>
          <w:bCs/>
          <w:shd w:val="clear" w:color="auto" w:fill="FFFFFF"/>
        </w:rPr>
      </w:pPr>
      <w:r>
        <w:rPr>
          <w:b/>
          <w:bCs/>
          <w:shd w:val="clear" w:color="auto" w:fill="FFFFFF"/>
        </w:rPr>
        <w:t>Significant Outcomes</w:t>
      </w:r>
      <w:r>
        <w:t xml:space="preserve">The overall incidence of ectopic pregnancy was </w:t>
      </w:r>
      <w:r>
        <w:t>equivalent in both cohorts (</w:t>
      </w:r>
      <w:r>
        <w:t xml:space="preserve">0.2% in the traditional pathway and </w:t>
      </w:r>
      <w:r>
        <w:t>0.2% in the telemedicine pathway</w:t>
      </w:r>
      <w:r>
        <w:t>)</w:t>
      </w:r>
      <w:r>
        <w:t xml:space="preserve">; there was no evidence that more may have </w:t>
      </w:r>
      <w:r>
        <w:t>been missed as a result of TEMA</w:t>
      </w:r>
      <w:r>
        <w:t xml:space="preserve">.   </w:t>
      </w:r>
      <w:r>
        <w:t xml:space="preserve">Review </w:t>
      </w:r>
      <w:r>
        <w:t xml:space="preserve">of each case that was detected after treatment showed that </w:t>
      </w:r>
      <w:r>
        <w:t>3 cases had significant haemorrhage</w:t>
      </w:r>
      <w:r>
        <w:t>,</w:t>
      </w:r>
      <w:r>
        <w:t xml:space="preserve"> tubal rupture </w:t>
      </w:r>
      <w:r>
        <w:t>or an adverse out</w:t>
      </w:r>
      <w:r>
        <w:t xml:space="preserve">come / near miss </w:t>
      </w:r>
      <w:r>
        <w:t>where a</w:t>
      </w:r>
      <w:r>
        <w:t xml:space="preserve"> delay</w:t>
      </w:r>
      <w:r>
        <w:t xml:space="preserve"> in diagnosis</w:t>
      </w:r>
      <w:r>
        <w:t xml:space="preserve"> could be a contributory factor</w:t>
      </w:r>
      <w:r>
        <w:t xml:space="preserve">.   </w:t>
      </w:r>
      <w:r>
        <w:t>These were from the traditional pathway (1 case)</w:t>
      </w:r>
      <w:r>
        <w:t xml:space="preserve"> and telemedicine pathway TEMA (</w:t>
      </w:r>
      <w:r>
        <w:t>1 case</w:t>
      </w:r>
      <w:r>
        <w:t>) / scanned (</w:t>
      </w:r>
      <w:r>
        <w:t>1 case</w:t>
      </w:r>
      <w:r>
        <w:t xml:space="preserve">).   </w:t>
      </w:r>
      <w:r>
        <w:t xml:space="preserve">The learning points that arose on review were to ensure staff were aware </w:t>
      </w:r>
      <w:r>
        <w:t xml:space="preserve">that non-bleed EMA may be owing to </w:t>
      </w:r>
      <w:r>
        <w:t xml:space="preserve">an ectopic pregnancy, and not to place a blind faith in the findings of earlier ultrasound scans as they </w:t>
      </w:r>
      <w:r>
        <w:t xml:space="preserve">can </w:t>
      </w:r>
      <w:r>
        <w:t xml:space="preserve">be </w:t>
      </w:r>
      <w:r>
        <w:t>false</w:t>
      </w:r>
      <w:r>
        <w:t xml:space="preserve">ly reassuring.   </w:t>
      </w:r>
    </w:p>
    <w:p w:rsidR="003552DE" w:rsidRDefault="003552DE">
      <w:pPr>
        <w:rPr>
          <w:shd w:val="clear" w:color="auto" w:fill="FFFFFF"/>
        </w:rPr>
      </w:pPr>
    </w:p>
    <w:p w:rsidR="003552DE" w:rsidRDefault="00DE001E">
      <w:pPr>
        <w:rPr>
          <w:shd w:val="clear" w:color="auto" w:fill="FFFFFF"/>
        </w:rPr>
      </w:pPr>
      <w:r>
        <w:t xml:space="preserve">There were 19 cases (0.06%) </w:t>
      </w:r>
      <w:r>
        <w:t xml:space="preserve">in the telemedicine pathway </w:t>
      </w:r>
      <w:r>
        <w:t xml:space="preserve">where the gestation was reported as being greater than the </w:t>
      </w:r>
      <w:r>
        <w:t>expected 10</w:t>
      </w:r>
      <w:r>
        <w:t xml:space="preserve"> weeks.   In </w:t>
      </w:r>
      <w:r>
        <w:t>all cases the woman</w:t>
      </w:r>
      <w:r>
        <w:t xml:space="preserve"> passed the pregnancy at home without additional complications</w:t>
      </w:r>
      <w:r>
        <w:t xml:space="preserve">.   </w:t>
      </w:r>
    </w:p>
    <w:p w:rsidR="003552DE" w:rsidRDefault="003552DE">
      <w:pPr>
        <w:rPr>
          <w:shd w:val="clear" w:color="auto" w:fill="FFFFFF"/>
        </w:rPr>
      </w:pPr>
    </w:p>
    <w:p w:rsidR="003552DE" w:rsidRDefault="003552DE">
      <w:pPr>
        <w:rPr>
          <w:shd w:val="clear" w:color="auto" w:fill="FFFFFF"/>
        </w:rPr>
      </w:pPr>
    </w:p>
    <w:p w:rsidR="003552DE" w:rsidRDefault="00DE001E">
      <w:pPr>
        <w:rPr>
          <w:shd w:val="clear" w:color="auto" w:fill="FFFFFF"/>
        </w:rPr>
      </w:pPr>
      <w:r>
        <w:rPr>
          <w:b/>
          <w:shd w:val="clear" w:color="auto" w:fill="FFFFFF"/>
        </w:rPr>
        <w:t>Acceptability</w:t>
      </w:r>
    </w:p>
    <w:p w:rsidR="003552DE" w:rsidRDefault="00DE001E">
      <w:pPr>
        <w:rPr>
          <w:shd w:val="clear" w:color="auto" w:fill="FFFFFF"/>
        </w:rPr>
      </w:pPr>
      <w:r>
        <w:rPr>
          <w:shd w:val="clear" w:color="auto" w:fill="FFFFFF"/>
        </w:rPr>
        <w:lastRenderedPageBreak/>
        <w:t xml:space="preserve">The telemedicine pathway </w:t>
      </w:r>
      <w:r>
        <w:rPr>
          <w:shd w:val="clear" w:color="auto" w:fill="FFFFFF"/>
        </w:rPr>
        <w:t>showed a significant reduction in mean wai</w:t>
      </w:r>
      <w:r>
        <w:rPr>
          <w:shd w:val="clear" w:color="auto" w:fill="FFFFFF"/>
        </w:rPr>
        <w:t>ting time compared to the traditional pathway (6.5 days</w:t>
      </w:r>
      <w:r>
        <w:rPr>
          <w:shd w:val="clear" w:color="auto" w:fill="FFFFFF"/>
        </w:rPr>
        <w:t xml:space="preserve"> vs 10.7 days</w:t>
      </w:r>
      <w:r>
        <w:rPr>
          <w:shd w:val="clear" w:color="auto" w:fill="FFFFFF"/>
        </w:rPr>
        <w:t>, p&lt;0.001</w:t>
      </w:r>
      <w:r>
        <w:rPr>
          <w:shd w:val="clear" w:color="auto" w:fill="FFFFFF"/>
        </w:rPr>
        <w:t xml:space="preserve">), presumably accounting for a correspondingly lower </w:t>
      </w:r>
      <w:r>
        <w:rPr>
          <w:shd w:val="clear" w:color="auto" w:fill="FFFFFF"/>
        </w:rPr>
        <w:t xml:space="preserve">mean </w:t>
      </w:r>
      <w:r>
        <w:rPr>
          <w:shd w:val="clear" w:color="auto" w:fill="FFFFFF"/>
        </w:rPr>
        <w:t>gestation at t</w:t>
      </w:r>
      <w:r>
        <w:rPr>
          <w:shd w:val="clear" w:color="auto" w:fill="FFFFFF"/>
        </w:rPr>
        <w:t xml:space="preserve">ime of abortion (6.0 weeks vs 6.4 weeks, p&lt;0.001).   </w:t>
      </w:r>
      <w:r>
        <w:rPr>
          <w:shd w:val="clear" w:color="auto" w:fill="FFFFFF"/>
        </w:rPr>
        <w:t>Overall 40% of those on the telemedicine pathway had t</w:t>
      </w:r>
      <w:r>
        <w:rPr>
          <w:shd w:val="clear" w:color="auto" w:fill="FFFFFF"/>
        </w:rPr>
        <w:t>heir EMA at 6 weeks and under, compared to 25% in the traditional pathway</w:t>
      </w:r>
      <w:r>
        <w:rPr>
          <w:shd w:val="clear" w:color="auto" w:fill="FFFFFF"/>
        </w:rPr>
        <w:t xml:space="preserve"> (p&lt;0.001).   </w:t>
      </w:r>
    </w:p>
    <w:p w:rsidR="003552DE" w:rsidRDefault="003552DE">
      <w:pPr>
        <w:rPr>
          <w:shd w:val="clear" w:color="auto" w:fill="FFFFFF"/>
        </w:rPr>
      </w:pPr>
    </w:p>
    <w:p w:rsidR="003552DE" w:rsidRDefault="00DE001E">
      <w:pPr>
        <w:rPr>
          <w:shd w:val="clear" w:color="auto" w:fill="FFFFFF"/>
        </w:rPr>
      </w:pPr>
      <w:r>
        <w:rPr>
          <w:shd w:val="clear" w:color="auto" w:fill="FFFFFF"/>
        </w:rPr>
        <w:t>1,243</w:t>
      </w:r>
      <w:r>
        <w:rPr>
          <w:shd w:val="clear" w:color="auto" w:fill="FFFFFF"/>
        </w:rPr>
        <w:t xml:space="preserve"> women provided patient-reported outcomes.   </w:t>
      </w:r>
      <w:r>
        <w:rPr>
          <w:shd w:val="clear" w:color="auto" w:fill="FFFFFF"/>
        </w:rPr>
        <w:t>1220 (</w:t>
      </w:r>
      <w:r>
        <w:rPr>
          <w:shd w:val="clear" w:color="auto" w:fill="FFFFFF"/>
        </w:rPr>
        <w:t>98.2%</w:t>
      </w:r>
      <w:r>
        <w:rPr>
          <w:shd w:val="clear" w:color="auto" w:fill="FFFFFF"/>
        </w:rPr>
        <w:t>)</w:t>
      </w:r>
      <w:r>
        <w:rPr>
          <w:shd w:val="clear" w:color="auto" w:fill="FFFFFF"/>
        </w:rPr>
        <w:t xml:space="preserve"> rated their experience as good or very good</w:t>
      </w:r>
      <w:r>
        <w:rPr>
          <w:shd w:val="clear" w:color="auto" w:fill="FFFFFF"/>
        </w:rPr>
        <w:t xml:space="preserve">.   </w:t>
      </w:r>
      <w:r>
        <w:rPr>
          <w:shd w:val="clear" w:color="auto" w:fill="FFFFFF"/>
        </w:rPr>
        <w:t xml:space="preserve">No woman reported that they were unable to </w:t>
      </w:r>
      <w:r>
        <w:rPr>
          <w:shd w:val="clear" w:color="auto" w:fill="FFFFFF"/>
        </w:rPr>
        <w:t>consult privately.   1035 (83</w:t>
      </w:r>
      <w:r>
        <w:rPr>
          <w:shd w:val="clear" w:color="auto" w:fill="FFFFFF"/>
        </w:rPr>
        <w:t xml:space="preserve">.3%) reported that they preferred telemedicine over face-to-face consultation, and 824 </w:t>
      </w:r>
      <w:r>
        <w:rPr>
          <w:shd w:val="clear" w:color="auto" w:fill="FFFFFF"/>
        </w:rPr>
        <w:t xml:space="preserve">(66%) that they would prefer telemedicine in the future if COVID-19 were not an issue.   </w:t>
      </w:r>
    </w:p>
    <w:p w:rsidR="003552DE" w:rsidRDefault="003552DE">
      <w:pPr>
        <w:rPr>
          <w:shd w:val="clear" w:color="auto" w:fill="FFFFFF"/>
        </w:rPr>
      </w:pPr>
    </w:p>
    <w:p w:rsidR="003552DE" w:rsidRDefault="00DE001E">
      <w:pPr>
        <w:rPr>
          <w:shd w:val="clear" w:color="auto" w:fill="FFFFFF"/>
        </w:rPr>
      </w:pPr>
      <w:r>
        <w:rPr>
          <w:b/>
          <w:shd w:val="clear" w:color="auto" w:fill="FFFFFF"/>
        </w:rPr>
        <w:t xml:space="preserve">Secondary Outcome </w:t>
      </w:r>
      <w:r>
        <w:rPr>
          <w:b/>
          <w:shd w:val="clear" w:color="auto" w:fill="FFFFFF"/>
        </w:rPr>
        <w:t>Measures</w:t>
      </w:r>
    </w:p>
    <w:p w:rsidR="003552DE" w:rsidRDefault="00DE001E">
      <w:pPr>
        <w:rPr>
          <w:shd w:val="clear" w:color="auto" w:fill="FFFFFF"/>
        </w:rPr>
      </w:pPr>
      <w:r>
        <w:rPr>
          <w:shd w:val="clear" w:color="auto" w:fill="FFFFFF"/>
        </w:rPr>
        <w:t xml:space="preserve">The outcomes </w:t>
      </w:r>
      <w:r>
        <w:rPr>
          <w:shd w:val="clear" w:color="auto" w:fill="FFFFFF"/>
        </w:rPr>
        <w:t xml:space="preserve">of </w:t>
      </w:r>
      <w:r>
        <w:rPr>
          <w:shd w:val="clear" w:color="auto" w:fill="FFFFFF"/>
        </w:rPr>
        <w:t xml:space="preserve">the TEMA and IPEMA groups within the telemedicine pathway are included in tables S1-S3.   </w:t>
      </w:r>
      <w:r>
        <w:rPr>
          <w:shd w:val="clear" w:color="auto" w:fill="FFFFFF"/>
        </w:rPr>
        <w:t>These showed similar, if more pronounced, trends in age</w:t>
      </w:r>
      <w:r>
        <w:rPr>
          <w:shd w:val="clear" w:color="auto" w:fill="FFFFFF"/>
        </w:rPr>
        <w:t xml:space="preserve"> and</w:t>
      </w:r>
      <w:r>
        <w:rPr>
          <w:shd w:val="clear" w:color="auto" w:fill="FFFFFF"/>
        </w:rPr>
        <w:t xml:space="preserve"> past pregnancies</w:t>
      </w:r>
      <w:r>
        <w:rPr>
          <w:shd w:val="clear" w:color="auto" w:fill="FFFFFF"/>
        </w:rPr>
        <w:t xml:space="preserve"> as demonstrated in the primary analysis of traditional vs telemedicine pathways.   </w:t>
      </w:r>
      <w:r>
        <w:rPr>
          <w:shd w:val="clear" w:color="auto" w:fill="FFFFFF"/>
        </w:rPr>
        <w:t>W</w:t>
      </w:r>
      <w:r>
        <w:rPr>
          <w:shd w:val="clear" w:color="auto" w:fill="FFFFFF"/>
        </w:rPr>
        <w:t xml:space="preserve">aiting times and gestational age </w:t>
      </w:r>
      <w:r>
        <w:rPr>
          <w:shd w:val="clear" w:color="auto" w:fill="FFFFFF"/>
        </w:rPr>
        <w:t>favoured TEMA</w:t>
      </w:r>
      <w:r>
        <w:rPr>
          <w:shd w:val="clear" w:color="auto" w:fill="FFFFFF"/>
        </w:rPr>
        <w:t xml:space="preserve"> (p&lt;0.001)</w:t>
      </w:r>
      <w:r>
        <w:rPr>
          <w:shd w:val="clear" w:color="auto" w:fill="FFFFFF"/>
        </w:rPr>
        <w:t>.   The TEMA group ha</w:t>
      </w:r>
      <w:r>
        <w:rPr>
          <w:shd w:val="clear" w:color="auto" w:fill="FFFFFF"/>
        </w:rPr>
        <w:t xml:space="preserve">d significantly higher success rates (99.2% vs 98.1%, p&lt;0.001) owing to </w:t>
      </w:r>
      <w:r>
        <w:rPr>
          <w:shd w:val="clear" w:color="auto" w:fill="FFFFFF"/>
        </w:rPr>
        <w:t xml:space="preserve">a </w:t>
      </w:r>
      <w:r>
        <w:rPr>
          <w:shd w:val="clear" w:color="auto" w:fill="FFFFFF"/>
        </w:rPr>
        <w:t>significantly reduce</w:t>
      </w:r>
      <w:r>
        <w:rPr>
          <w:shd w:val="clear" w:color="auto" w:fill="FFFFFF"/>
        </w:rPr>
        <w:t>d on</w:t>
      </w:r>
      <w:r>
        <w:rPr>
          <w:shd w:val="clear" w:color="auto" w:fill="FFFFFF"/>
        </w:rPr>
        <w:t xml:space="preserve">going pregnancy rate.   There was no difference </w:t>
      </w:r>
      <w:r>
        <w:rPr>
          <w:shd w:val="clear" w:color="auto" w:fill="FFFFFF"/>
        </w:rPr>
        <w:t xml:space="preserve">in </w:t>
      </w:r>
      <w:r>
        <w:rPr>
          <w:shd w:val="clear" w:color="auto" w:fill="FFFFFF"/>
        </w:rPr>
        <w:t xml:space="preserve">haemorrhage requiring transfusion.   </w:t>
      </w:r>
    </w:p>
    <w:p w:rsidR="003552DE" w:rsidRDefault="003552DE">
      <w:pPr>
        <w:rPr>
          <w:shd w:val="clear" w:color="auto" w:fill="FFFFFF"/>
        </w:rPr>
      </w:pPr>
    </w:p>
    <w:p w:rsidR="003552DE" w:rsidRDefault="003552DE">
      <w:pPr>
        <w:rPr>
          <w:shd w:val="clear" w:color="auto" w:fill="FFFFFF"/>
        </w:rPr>
      </w:pPr>
    </w:p>
    <w:p w:rsidR="003552DE" w:rsidRDefault="00DE001E">
      <w:pPr>
        <w:rPr>
          <w:b/>
          <w:sz w:val="28"/>
          <w:szCs w:val="28"/>
        </w:rPr>
      </w:pPr>
      <w:r>
        <w:rPr>
          <w:b/>
          <w:sz w:val="28"/>
          <w:szCs w:val="28"/>
        </w:rPr>
        <w:t>Discussion</w:t>
      </w:r>
    </w:p>
    <w:p w:rsidR="003552DE" w:rsidRDefault="00DE001E">
      <w:pPr>
        <w:rPr>
          <w:shd w:val="clear" w:color="auto" w:fill="FFFFFF"/>
        </w:rPr>
      </w:pPr>
      <w:r>
        <w:rPr>
          <w:shd w:val="clear" w:color="auto" w:fill="FFFFFF"/>
        </w:rPr>
        <w:t xml:space="preserve">This </w:t>
      </w:r>
      <w:r>
        <w:rPr>
          <w:shd w:val="clear" w:color="auto" w:fill="FFFFFF"/>
        </w:rPr>
        <w:t xml:space="preserve">large </w:t>
      </w:r>
      <w:r>
        <w:rPr>
          <w:shd w:val="clear" w:color="auto" w:fill="FFFFFF"/>
        </w:rPr>
        <w:t>study confirms the previous literature to confirm that EMA is a safe and effective method of abortion with low rates of significant complic</w:t>
      </w:r>
      <w:r>
        <w:rPr>
          <w:shd w:val="clear" w:color="auto" w:fill="FFFFFF"/>
        </w:rPr>
        <w:t>ations.</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27</w:t>
      </w:r>
      <w:r>
        <w:rPr>
          <w:shd w:val="clear" w:color="auto" w:fill="FFFFFF"/>
        </w:rPr>
        <w:fldChar w:fldCharType="end"/>
      </w:r>
      <w:r>
        <w:rPr>
          <w:shd w:val="clear" w:color="auto" w:fill="FFFFFF"/>
        </w:rPr>
        <w:t xml:space="preserve">   There is no evidence of inferiority in the pathway in which telemedicine is included, in which 62% have care which is entirely remote-access with no-scan.   There are advantages demonstrated – both waiting times and gestation at abortion are reduced in </w:t>
      </w:r>
      <w:r>
        <w:rPr>
          <w:shd w:val="clear" w:color="auto" w:fill="FFFFFF"/>
        </w:rPr>
        <w:t>the telemedicine pathway, and there is a statistically if not clinically significant improvement in the successful abortion rate.   All these advantages happened during the COVID-19 pandemic when access to healthcare was compromised.   The benefits are mor</w:t>
      </w:r>
      <w:r>
        <w:rPr>
          <w:shd w:val="clear" w:color="auto" w:fill="FFFFFF"/>
        </w:rPr>
        <w:t xml:space="preserve">e marked in the sub-analysis comparing TEMA directly with IPEMA, suggesting that it is the improved access for the group having TEMA that may account for the advantages.   </w:t>
      </w:r>
    </w:p>
    <w:p w:rsidR="003552DE" w:rsidRDefault="003552DE">
      <w:pPr>
        <w:rPr>
          <w:shd w:val="clear" w:color="auto" w:fill="FFFFFF"/>
        </w:rPr>
      </w:pPr>
    </w:p>
    <w:p w:rsidR="003552DE" w:rsidRDefault="00DE001E">
      <w:pPr>
        <w:rPr>
          <w:b/>
          <w:shd w:val="clear" w:color="auto" w:fill="FFFFFF"/>
        </w:rPr>
      </w:pPr>
      <w:r>
        <w:rPr>
          <w:b/>
          <w:shd w:val="clear" w:color="auto" w:fill="FFFFFF"/>
        </w:rPr>
        <w:t>Adverse Outcomes</w:t>
      </w:r>
    </w:p>
    <w:p w:rsidR="003552DE" w:rsidRDefault="00DE001E">
      <w:pPr>
        <w:rPr>
          <w:shd w:val="clear" w:color="auto" w:fill="FFFFFF"/>
        </w:rPr>
      </w:pPr>
      <w:r>
        <w:rPr>
          <w:shd w:val="clear" w:color="auto" w:fill="FFFFFF"/>
        </w:rPr>
        <w:t xml:space="preserve">The main concerns over introducing TEMA </w:t>
      </w:r>
      <w:r>
        <w:rPr>
          <w:shd w:val="clear" w:color="auto" w:fill="FFFFFF"/>
        </w:rPr>
        <w:t xml:space="preserve">are </w:t>
      </w:r>
      <w:r>
        <w:rPr>
          <w:shd w:val="clear" w:color="auto" w:fill="FFFFFF"/>
        </w:rPr>
        <w:t xml:space="preserve">over </w:t>
      </w:r>
      <w:r>
        <w:rPr>
          <w:shd w:val="clear" w:color="auto" w:fill="FFFFFF"/>
        </w:rPr>
        <w:t>failing to detec</w:t>
      </w:r>
      <w:r>
        <w:rPr>
          <w:shd w:val="clear" w:color="auto" w:fill="FFFFFF"/>
        </w:rPr>
        <w:t xml:space="preserve">t </w:t>
      </w:r>
      <w:r>
        <w:rPr>
          <w:shd w:val="clear" w:color="auto" w:fill="FFFFFF"/>
        </w:rPr>
        <w:t>ectopic pregnanc</w:t>
      </w:r>
      <w:r>
        <w:rPr>
          <w:shd w:val="clear" w:color="auto" w:fill="FFFFFF"/>
        </w:rPr>
        <w:t xml:space="preserve">ies and inadvertent late gestations.   </w:t>
      </w:r>
    </w:p>
    <w:p w:rsidR="003552DE" w:rsidRDefault="003552DE">
      <w:pPr>
        <w:rPr>
          <w:shd w:val="clear" w:color="auto" w:fill="FFFFFF"/>
        </w:rPr>
      </w:pPr>
    </w:p>
    <w:p w:rsidR="003552DE" w:rsidRDefault="00DE001E">
      <w:pPr>
        <w:rPr>
          <w:shd w:val="clear" w:color="auto" w:fill="FFFFFF"/>
        </w:rPr>
      </w:pPr>
      <w:r>
        <w:rPr>
          <w:b/>
          <w:i/>
          <w:shd w:val="clear" w:color="auto" w:fill="FFFFFF"/>
        </w:rPr>
        <w:t>Ectopic Pregnancy</w:t>
      </w:r>
    </w:p>
    <w:p w:rsidR="003552DE" w:rsidRDefault="00DE001E">
      <w:pPr>
        <w:rPr>
          <w:shd w:val="clear" w:color="auto" w:fill="FFFFFF"/>
        </w:rPr>
      </w:pPr>
      <w:r>
        <w:rPr>
          <w:shd w:val="clear" w:color="auto" w:fill="FFFFFF"/>
        </w:rPr>
        <w:t>Although the rate of ectopic pregnancy in the general population in the UK and USA is reported as 1-2%</w:t>
      </w:r>
      <w:r>
        <w:fldChar w:fldCharType="begin"/>
      </w:r>
      <w:r>
        <w:rPr>
          <w:shd w:val="clear" w:color="auto" w:fill="FFFFFF"/>
        </w:rPr>
        <w:instrText>ADDIN EN.CITE &lt;EndNote&gt;&lt;Cite&gt;&lt;Author&gt;Centers for Disease Control and Preventi</w:instrText>
      </w:r>
      <w:r>
        <w:rPr>
          <w:shd w:val="clear" w:color="auto" w:fill="FFFFFF"/>
        </w:rPr>
        <w:instrText>on (CDC)&lt;/Author&gt;&lt;Year&gt;1995&lt;/Year&gt;&lt;RecNum&gt;27&lt;/RecNum&gt;&lt;DisplayText&gt;&lt;style face="superscript"&gt;28 29&lt;/style&gt;&lt;/DisplayText&gt;&lt;record&gt;&lt;rec-number&gt;27&lt;/rec-number&gt;&lt;foreign-keys&gt;&lt;key app="EN" db-id="5v5xpasrytpefpe52xr5a9vvtrww9ts0p9d9" timestamp="1591738194"&gt;27&lt;/ke</w:instrText>
      </w:r>
      <w:r>
        <w:rPr>
          <w:shd w:val="clear" w:color="auto" w:fill="FFFFFF"/>
        </w:rPr>
        <w:instrText>y&gt;&lt;/foreign-keys&gt;&lt;ref-type name="Journal Article"&gt;17&lt;/ref-type&gt;&lt;contributors&gt;&lt;authors&gt;&lt;author&gt;Centers for Disease Control and Prevention (CDC), &lt;/author&gt;&lt;/authors&gt;&lt;/contributors&gt;&lt;titles&gt;&lt;title&gt;Ectopic pregnancy—United States, 1990–1992&lt;/title&gt;&lt;secondary-ti</w:instrText>
      </w:r>
      <w:r>
        <w:rPr>
          <w:shd w:val="clear" w:color="auto" w:fill="FFFFFF"/>
        </w:rPr>
        <w:instrText>tle&gt;MMWR Morb Mortal Wkly Rep.&lt;/secondary-title&gt;&lt;/titles&gt;&lt;periodical&gt;&lt;full-title&gt;MMWR Morb Mortal Wkly Rep.&lt;/full-title&gt;&lt;/periodical&gt;&lt;pages&gt;46–8&lt;/pages&gt;&lt;volume&gt;44&lt;/volume&gt;&lt;number&gt;46–8&lt;/number&gt;&lt;dates&gt;&lt;year&gt;1995&lt;/year&gt;&lt;/dates&gt;&lt;urls&gt;&lt;/urls&gt;&lt;/record&gt;&lt;/Cite&gt;&lt;Ci</w:instrText>
      </w:r>
      <w:r>
        <w:rPr>
          <w:shd w:val="clear" w:color="auto" w:fill="FFFFFF"/>
        </w:rPr>
        <w:instrText>te&gt;&lt;Author&gt;National Institute for Health and Care Excellence (NICE)&lt;/Author&gt;&lt;Year&gt;2012&lt;/Year&gt;&lt;RecNum&gt;102&lt;/RecNum&gt;&lt;record&gt;&lt;rec-number&gt;102&lt;/rec-number&gt;&lt;foreign-keys&gt;&lt;key app="EN" db-id="5v5xpasrytpefpe52xr5a9vvtrww9ts0p9d9" timestamp="1591738194"&gt;102&lt;/key&gt;&lt;/</w:instrText>
      </w:r>
      <w:r>
        <w:rPr>
          <w:shd w:val="clear" w:color="auto" w:fill="FFFFFF"/>
        </w:rPr>
        <w:instrText>foreign-keys&gt;&lt;ref-type name="Report"&gt;27&lt;/ref-type&gt;&lt;contributors&gt;&lt;authors&gt;&lt;author&gt;National Institute for Health and Care Excellence (NICE), &lt;/author&gt;&lt;/authors&gt;&lt;secondary-authors&gt;&lt;author&gt;National Institute for Health and Care Excellence (NICE)&lt;/author&gt;&lt;/seco</w:instrText>
      </w:r>
      <w:r>
        <w:rPr>
          <w:shd w:val="clear" w:color="auto" w:fill="FFFFFF"/>
        </w:rPr>
        <w:instrText>ndary-authors&gt;&lt;/contributors&gt;&lt;titles&gt;&lt;title&gt;Ectopic pregnancy and miscarriage: diagnosis and initial management&lt;/title&gt;&lt;secondary-title&gt;Clinical guideline [CG154]&lt;/secondary-title&gt;&lt;/titles&gt;&lt;keywords&gt;&lt;keyword&gt;Pregnancy&lt;/keyword&gt;&lt;/keywords&gt;&lt;dates&gt;&lt;year&gt;2012&lt;</w:instrText>
      </w:r>
      <w:r>
        <w:rPr>
          <w:shd w:val="clear" w:color="auto" w:fill="FFFFFF"/>
        </w:rPr>
        <w:instrText>/year&gt;&lt;pub-dates&gt;&lt;date&gt;2012&lt;/date&gt;&lt;/pub-dates&gt;&lt;/dates&gt;&lt;pub-location&gt;London&lt;/pub-location&gt;&lt;label&gt;45&lt;/label&gt;&lt;urls&gt;&lt;related-urls&gt;&lt;url&gt;&lt;style face="underline" font="default" size="100%"&gt;www.nice.org.uk/guidance/cg154&lt;/style&gt;&lt;/url&gt;&lt;/related-urls&gt;&lt;/urls&gt;&lt;/record</w:instrText>
      </w:r>
      <w:r>
        <w:rPr>
          <w:shd w:val="clear" w:color="auto" w:fill="FFFFFF"/>
        </w:rPr>
        <w:instrText>&gt;&lt;/Cite&gt;&lt;/EndNote&gt;</w:instrText>
      </w:r>
      <w:r>
        <w:rPr>
          <w:shd w:val="clear" w:color="auto" w:fill="FFFFFF"/>
        </w:rPr>
        <w:fldChar w:fldCharType="separate"/>
      </w:r>
      <w:r>
        <w:rPr>
          <w:shd w:val="clear" w:color="auto" w:fill="FFFFFF"/>
          <w:vertAlign w:val="superscript"/>
        </w:rPr>
        <w:t>28 29</w:t>
      </w:r>
      <w:r>
        <w:rPr>
          <w:shd w:val="clear" w:color="auto" w:fill="FFFFFF"/>
        </w:rPr>
        <w:fldChar w:fldCharType="end"/>
      </w:r>
      <w:r>
        <w:rPr>
          <w:shd w:val="clear" w:color="auto" w:fill="FFFFFF"/>
        </w:rPr>
        <w:t>, the rate reported in women having an abortion is 10 times less</w:t>
      </w:r>
      <w:r>
        <w:fldChar w:fldCharType="begin"/>
      </w:r>
      <w:r>
        <w:rPr>
          <w:shd w:val="clear" w:color="auto" w:fill="FFFFFF"/>
        </w:rPr>
        <w:instrText>ADDIN EN.CITE &lt;EndNote&gt;&lt;Cite&gt;&lt;Author&gt;Shannon C&lt;/Author&gt;&lt;Year&gt;2004&lt;/Year&gt;&lt;RecNum&gt;129&lt;/RecNum&gt;&lt;DisplayText&gt;&lt;style face="superscript"&gt;30&lt;/style&gt;&lt;/DisplayText&gt;&lt;record&gt;&lt;re</w:instrText>
      </w:r>
      <w:r>
        <w:rPr>
          <w:shd w:val="clear" w:color="auto" w:fill="FFFFFF"/>
        </w:rPr>
        <w:instrText>c-number&gt;129&lt;/rec-number&gt;&lt;foreign-keys&gt;&lt;key app="EN" db-id="5v5xpasrytpefpe52xr5a9vvtrww9ts0p9d9" timestamp="1591738194"&gt;129&lt;/key&gt;&lt;/foreign-keys&gt;&lt;ref-type name="Journal Article"&gt;17&lt;/ref-type&gt;&lt;contributors&gt;&lt;authors&gt;&lt;author&gt;Shannon C, &lt;/author&gt;&lt;author&gt;Brothe</w:instrText>
      </w:r>
      <w:r>
        <w:rPr>
          <w:shd w:val="clear" w:color="auto" w:fill="FFFFFF"/>
        </w:rPr>
        <w:instrText>rs LP, &lt;/author&gt;&lt;author&gt;Philip NM, &lt;/author&gt;&lt;author&gt;Winikoff B,&lt;/author&gt;&lt;/authors&gt;&lt;/contributors&gt;&lt;titles&gt;&lt;title&gt;Ectopic pregnancy and medical abortion&lt;/title&gt;&lt;secondary-title&gt;Obstet Gynecol&lt;/secondary-title&gt;&lt;/titles&gt;&lt;periodical&gt;&lt;full-title&gt;Obstet Gynecol&lt;/</w:instrText>
      </w:r>
      <w:r>
        <w:rPr>
          <w:shd w:val="clear" w:color="auto" w:fill="FFFFFF"/>
        </w:rPr>
        <w:instrText>full-title&gt;&lt;/periodical&gt;&lt;pages&gt;161–7&lt;/pages&gt;&lt;volume&gt;104&lt;/volume&gt;&lt;dates&gt;&lt;year&gt;2004&lt;/year&gt;&lt;/dates&gt;&lt;urls&gt;&lt;/urls&gt;&lt;/record&gt;&lt;/Cite&gt;&lt;/EndNote&gt;</w:instrText>
      </w:r>
      <w:r>
        <w:rPr>
          <w:shd w:val="clear" w:color="auto" w:fill="FFFFFF"/>
        </w:rPr>
        <w:fldChar w:fldCharType="separate"/>
      </w:r>
      <w:r>
        <w:rPr>
          <w:shd w:val="clear" w:color="auto" w:fill="FFFFFF"/>
          <w:vertAlign w:val="superscript"/>
        </w:rPr>
        <w:t>30</w:t>
      </w:r>
      <w:r>
        <w:rPr>
          <w:shd w:val="clear" w:color="auto" w:fill="FFFFFF"/>
        </w:rPr>
        <w:fldChar w:fldCharType="end"/>
      </w:r>
      <w:r>
        <w:rPr>
          <w:shd w:val="clear" w:color="auto" w:fill="FFFFFF"/>
        </w:rPr>
        <w:t xml:space="preserve"> which is also what is reported here.   However given the volumes needing abortion care, some will inevitably have a</w:t>
      </w:r>
      <w:r>
        <w:rPr>
          <w:shd w:val="clear" w:color="auto" w:fill="FFFFFF"/>
        </w:rPr>
        <w:t xml:space="preserve">n </w:t>
      </w:r>
      <w:r>
        <w:rPr>
          <w:shd w:val="clear" w:color="auto" w:fill="FFFFFF"/>
        </w:rPr>
        <w:lastRenderedPageBreak/>
        <w:t>ectopic pregnancy and some of these will be asymptomatic.   The essential issue for safety is that these are detected prior to causing harm; having an EMA in itself will have no effect on an underlying ectopic pregnancy.   Indeed, if telemedicine reduces</w:t>
      </w:r>
      <w:r>
        <w:rPr>
          <w:shd w:val="clear" w:color="auto" w:fill="FFFFFF"/>
        </w:rPr>
        <w:t xml:space="preserve"> waiting times it may facilitate earlier detection than traditional pathways where women present later, or are sent away to give additional time to visualise an intrauterine pregnancy on scan.   Proceeding with early medical abortion with no scan (or if sc</w:t>
      </w:r>
      <w:r>
        <w:rPr>
          <w:shd w:val="clear" w:color="auto" w:fill="FFFFFF"/>
        </w:rPr>
        <w:t>anned with no evidence of intrauterine pregnancy) may permit earlier diagnosis of a developing ectopic pregnancy owing to increased surveillance and index of suspicion</w:t>
      </w:r>
      <w:r>
        <w:rPr>
          <w:shd w:val="clear" w:color="auto" w:fill="FFFFFF"/>
        </w:rPr>
        <w:t>, especially where</w:t>
      </w:r>
      <w:r>
        <w:rPr>
          <w:shd w:val="clear" w:color="auto" w:fill="FFFFFF"/>
        </w:rPr>
        <w:t xml:space="preserve"> there is minimal bleeding after misoprostol</w:t>
      </w:r>
      <w:r>
        <w:fldChar w:fldCharType="begin"/>
      </w:r>
      <w:r>
        <w:rPr>
          <w:shd w:val="clear" w:color="auto" w:fill="FFFFFF"/>
        </w:rPr>
        <w:instrText>ADDIN EN.CITE</w:instrText>
      </w:r>
      <w:r>
        <w:fldChar w:fldCharType="begin"/>
      </w:r>
      <w:r>
        <w:rPr>
          <w:shd w:val="clear" w:color="auto" w:fill="FFFFFF"/>
        </w:rPr>
        <w:instrText>ADDIN EN.CITE.</w:instrText>
      </w:r>
      <w:r>
        <w:rPr>
          <w:shd w:val="clear" w:color="auto" w:fill="FFFFFF"/>
        </w:rPr>
        <w:instrText>DATA</w:instrText>
      </w:r>
      <w:r>
        <w:rPr>
          <w:shd w:val="clear" w:color="auto" w:fill="FFFFFF"/>
        </w:rPr>
        <w:fldChar w:fldCharType="end"/>
      </w:r>
      <w:r>
        <w:rPr>
          <w:shd w:val="clear" w:color="auto" w:fill="FFFFFF"/>
        </w:rPr>
        <w:fldChar w:fldCharType="separate"/>
      </w:r>
      <w:r>
        <w:rPr>
          <w:shd w:val="clear" w:color="auto" w:fill="FFFFFF"/>
          <w:vertAlign w:val="superscript"/>
        </w:rPr>
        <w:t>3 9</w:t>
      </w:r>
      <w:r>
        <w:rPr>
          <w:shd w:val="clear" w:color="auto" w:fill="FFFFFF"/>
        </w:rPr>
        <w:fldChar w:fldCharType="end"/>
      </w:r>
      <w:r>
        <w:rPr>
          <w:shd w:val="clear" w:color="auto" w:fill="FFFFFF"/>
        </w:rPr>
        <w:t xml:space="preserve">.   </w:t>
      </w:r>
    </w:p>
    <w:p w:rsidR="003552DE" w:rsidRDefault="003552DE">
      <w:pPr>
        <w:rPr>
          <w:shd w:val="clear" w:color="auto" w:fill="FFFFFF"/>
        </w:rPr>
      </w:pPr>
    </w:p>
    <w:p w:rsidR="003552DE" w:rsidRDefault="00DE001E">
      <w:pPr>
        <w:rPr>
          <w:shd w:val="clear" w:color="auto" w:fill="FFFFFF"/>
        </w:rPr>
      </w:pPr>
      <w:r>
        <w:rPr>
          <w:shd w:val="clear" w:color="auto" w:fill="FFFFFF"/>
        </w:rPr>
        <w:t>Where women are not presenting for abortion care there is no screening programme to exclude an ectopic pregnancy unless the woman develops symptoms.   It is therefore illogical to assume that it is necessary in a population where the inci</w:t>
      </w:r>
      <w:r>
        <w:rPr>
          <w:shd w:val="clear" w:color="auto" w:fill="FFFFFF"/>
        </w:rPr>
        <w:t>dence is 10 times lower.   A symptom and risk-based approach, with ultrasound only if indicated, seems a better solution.   This is especially the case if women are presenting at lower gestations as ultrasound would be expected to have lower detection rate</w:t>
      </w:r>
      <w:r>
        <w:rPr>
          <w:shd w:val="clear" w:color="auto" w:fill="FFFFFF"/>
        </w:rPr>
        <w:t xml:space="preserve">s and more false positives.   Our findings also show that ectopics are just as likely to be missed in the traditional pathway, so there is no evidence that telemedicine should be withheld owing to concerns over ectopic pregnancy.   </w:t>
      </w:r>
    </w:p>
    <w:p w:rsidR="003552DE" w:rsidRDefault="00DE001E">
      <w:pPr>
        <w:rPr>
          <w:shd w:val="clear" w:color="auto" w:fill="FFFFFF"/>
        </w:rPr>
      </w:pPr>
      <w:r>
        <w:fldChar w:fldCharType="begin"/>
      </w:r>
      <w:r>
        <w:rPr>
          <w:shd w:val="clear" w:color="auto" w:fill="FFFFFF"/>
        </w:rPr>
        <w:instrText xml:space="preserve">ADDIN EN.CITE </w:instrText>
      </w:r>
      <w:r>
        <w:rPr>
          <w:shd w:val="clear" w:color="auto" w:fill="FFFFFF"/>
        </w:rPr>
        <w:instrText>&lt;EndNote&gt;&lt;Cite&gt;&lt;Author&gt;Raymond&lt;/Author&gt;&lt;Year&gt;2012&lt;/Year&gt;&lt;RecNum&gt;1223&lt;/RecNum&gt;&lt;DisplayText&gt;&lt;style face="superscript"&gt;18&lt;/style&gt;&lt;/DisplayText&gt;&lt;record&gt;&lt;rec-number&gt;1223&lt;/rec-number&gt;&lt;foreign-keys&gt;&lt;key app="EN" db-id="5v5xpasrytpefpe52xr5a9vvtrww9ts0p9d9" timest</w:instrText>
      </w:r>
      <w:r>
        <w:rPr>
          <w:shd w:val="clear" w:color="auto" w:fill="FFFFFF"/>
        </w:rPr>
        <w:instrText xml:space="preserve">amp="1597150696"&gt;1223&lt;/key&gt;&lt;/foreign-keys&gt;&lt;ref-type name="Journal Article"&gt;17&lt;/ref-type&gt;&lt;contributors&gt;&lt;authors&gt;&lt;author&gt;Raymond, E. G.&lt;/author&gt;&lt;author&gt;Grimes, D. A.&lt;/author&gt;&lt;/authors&gt;&lt;/contributors&gt;&lt;auth-address&gt;Gynuity Health Projects, New York, New York, </w:instrText>
      </w:r>
      <w:r>
        <w:rPr>
          <w:shd w:val="clear" w:color="auto" w:fill="FFFFFF"/>
        </w:rPr>
        <w:instrText>USA. eraymond@gynuity.org&lt;/auth-address&gt;&lt;titles&gt;&lt;title&gt;The comparative safety of legal induced abortion and childbirth in the United States&lt;/title&gt;&lt;secondary-title&gt;Obstet Gynecol&lt;/secondary-title&gt;&lt;/titles&gt;&lt;periodical&gt;&lt;full-title&gt;Obstet Gynecol&lt;/full-title&gt;</w:instrText>
      </w:r>
      <w:r>
        <w:rPr>
          <w:shd w:val="clear" w:color="auto" w:fill="FFFFFF"/>
        </w:rPr>
        <w:instrText>&lt;/periodical&gt;&lt;pages&gt;215-9&lt;/pages&gt;&lt;volume&gt;119&lt;/volume&gt;&lt;number&gt;2 Pt 1&lt;/number&gt;&lt;edition&gt;2012/01/25&lt;/edition&gt;&lt;keywords&gt;&lt;keyword&gt;Abortion, Legal/adverse effects/*mortality&lt;/keyword&gt;&lt;keyword&gt;Delivery, Obstetric/adverse effects/*mortality&lt;/keyword&gt;&lt;keyword&gt;Female</w:instrText>
      </w:r>
      <w:r>
        <w:rPr>
          <w:shd w:val="clear" w:color="auto" w:fill="FFFFFF"/>
        </w:rPr>
        <w:instrText>&lt;/keyword&gt;&lt;keyword&gt;Humans&lt;/keyword&gt;&lt;keyword&gt;Live Birth&lt;/keyword&gt;&lt;keyword&gt;Maternal Mortality&lt;/keyword&gt;&lt;keyword&gt;Pregnancy&lt;/keyword&gt;&lt;keyword&gt;Pregnancy Complications/*epidemiology&lt;/keyword&gt;&lt;keyword&gt;United States/epidemiology&lt;/keyword&gt;&lt;/keywords&gt;&lt;dates&gt;&lt;year&gt;20</w:instrText>
      </w:r>
      <w:r>
        <w:rPr>
          <w:shd w:val="clear" w:color="auto" w:fill="FFFFFF"/>
        </w:rPr>
        <w:instrText>12&lt;/year&gt;&lt;pub-dates&gt;&lt;date&gt;Feb&lt;/date&gt;&lt;/pub-dates&gt;&lt;/dates&gt;&lt;isbn&gt;0029-7844&lt;/isbn&gt;&lt;accession-num&gt;22270271&lt;/accession-num&gt;&lt;urls&gt;&lt;/urls&gt;&lt;electronic-resource-num&gt;10.1097/AOG.0b013e31823fe923&lt;/electronic-resource-num&gt;&lt;remote-database-provider&gt;NLM&lt;/remote-database-</w:instrText>
      </w:r>
      <w:r>
        <w:rPr>
          <w:shd w:val="clear" w:color="auto" w:fill="FFFFFF"/>
        </w:rPr>
        <w:instrText>provider&gt;&lt;language&gt;eng&lt;/language&gt;&lt;/record&gt;&lt;/Cite&gt;&lt;/EndNote&gt;</w:instrText>
      </w:r>
      <w:r>
        <w:rPr>
          <w:shd w:val="clear" w:color="auto" w:fill="FFFFFF"/>
        </w:rPr>
        <w:fldChar w:fldCharType="separate"/>
      </w:r>
      <w:r>
        <w:rPr>
          <w:shd w:val="clear" w:color="auto" w:fill="FFFFFF"/>
          <w:vertAlign w:val="superscript"/>
        </w:rPr>
        <w:t>18</w: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27</w:t>
      </w:r>
      <w:r>
        <w:rPr>
          <w:shd w:val="clear" w:color="auto" w:fill="FFFFFF"/>
        </w:rPr>
        <w:fldChar w:fldCharType="end"/>
      </w:r>
    </w:p>
    <w:p w:rsidR="003552DE" w:rsidRDefault="00DE001E">
      <w:pPr>
        <w:rPr>
          <w:shd w:val="clear" w:color="auto" w:fill="FFFFFF"/>
        </w:rPr>
      </w:pPr>
      <w:r>
        <w:rPr>
          <w:b/>
          <w:i/>
          <w:shd w:val="clear" w:color="auto" w:fill="FFFFFF"/>
        </w:rPr>
        <w:t>Late Gestation</w:t>
      </w:r>
      <w:r>
        <w:rPr>
          <w:shd w:val="clear" w:color="auto" w:fill="FFFFFF"/>
        </w:rPr>
        <w:t xml:space="preserve">.   </w:t>
      </w:r>
    </w:p>
    <w:p w:rsidR="003552DE" w:rsidRDefault="00DE001E">
      <w:pPr>
        <w:rPr>
          <w:shd w:val="clear" w:color="auto" w:fill="FFFFFF"/>
        </w:rPr>
      </w:pPr>
      <w:r>
        <w:rPr>
          <w:shd w:val="clear" w:color="auto" w:fill="FFFFFF"/>
        </w:rPr>
        <w:t>The complication that is specific to TEMA is that of inadvertently treating a later gestation than anticipated.   The &lt;10 weeks gestation limit in the Englis</w:t>
      </w:r>
      <w:r>
        <w:rPr>
          <w:shd w:val="clear" w:color="auto" w:fill="FFFFFF"/>
        </w:rPr>
        <w:t>h government’s approval order is a political and not a medical decision; the Scottish government did not stipulate a</w:t>
      </w:r>
      <w:r>
        <w:rPr>
          <w:shd w:val="clear" w:color="auto" w:fill="FFFFFF"/>
        </w:rPr>
        <w:t xml:space="preserve"> limit and leaves this to the discretion of the clinician in consultation with their patient.   Women can determine the gestational age of</w:t>
      </w:r>
      <w:r>
        <w:rPr>
          <w:shd w:val="clear" w:color="auto" w:fill="FFFFFF"/>
        </w:rPr>
        <w:t xml:space="preserve"> their pregnancy with reasonable accuracy by LMP alone</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31</w:t>
      </w:r>
      <w:r>
        <w:rPr>
          <w:shd w:val="clear" w:color="auto" w:fill="FFFFFF"/>
        </w:rPr>
        <w:fldChar w:fldCharType="end"/>
      </w:r>
      <w:r>
        <w:rPr>
          <w:shd w:val="clear" w:color="auto" w:fill="FFFFFF"/>
        </w:rPr>
        <w:t>.   Nevertheless inadvertent treatment of gestations over 10 weeks is inevitable in some women, although the consequences for most are unlikely to be significant</w:t>
      </w:r>
      <w:r>
        <w:fldChar w:fldCharType="begin"/>
      </w:r>
      <w:r>
        <w:rPr>
          <w:shd w:val="clear" w:color="auto" w:fill="FFFFFF"/>
        </w:rPr>
        <w:instrText>ADD</w:instrText>
      </w:r>
      <w:r>
        <w:rPr>
          <w:shd w:val="clear" w:color="auto" w:fill="FFFFFF"/>
        </w:rPr>
        <w:instrText>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32</w:t>
      </w:r>
      <w:r>
        <w:rPr>
          <w:shd w:val="clear" w:color="auto" w:fill="FFFFFF"/>
        </w:rPr>
        <w:fldChar w:fldCharType="end"/>
      </w:r>
      <w:r>
        <w:rPr>
          <w:shd w:val="clear" w:color="auto" w:fill="FFFFFF"/>
        </w:rPr>
        <w:t>.   The reported success of self-managed abortions by women at &gt;12–24 weeks’ gestation is 93%, with efficacy and safety similar to that expected in earlier gestations</w:t>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separate"/>
      </w:r>
      <w:r>
        <w:rPr>
          <w:shd w:val="clear" w:color="auto" w:fill="FFFFFF"/>
          <w:vertAlign w:val="superscript"/>
        </w:rPr>
        <w:t>33</w:t>
      </w:r>
      <w:r>
        <w:rPr>
          <w:shd w:val="clear" w:color="auto" w:fill="FFFFFF"/>
        </w:rPr>
        <w:fldChar w:fldCharType="end"/>
      </w:r>
      <w:r>
        <w:rPr>
          <w:shd w:val="clear" w:color="auto" w:fill="FFFFFF"/>
        </w:rPr>
        <w:t>.   In this study</w:t>
      </w:r>
      <w:r>
        <w:rPr>
          <w:shd w:val="clear" w:color="auto" w:fill="FFFFFF"/>
        </w:rPr>
        <w:t xml:space="preserve"> the rate of unexpected late gestation is </w:t>
      </w:r>
      <w:r>
        <w:rPr>
          <w:shd w:val="clear" w:color="auto" w:fill="FFFFFF"/>
        </w:rPr>
        <w:t>0.06%</w:t>
      </w:r>
      <w:r>
        <w:rPr>
          <w:shd w:val="clear" w:color="auto" w:fill="FFFFFF"/>
        </w:rPr>
        <w:t>.   This is lower than many commonly accepted risks (e.g. annual risk of death from violent crime or from road traffic accidents in the UK</w:t>
      </w:r>
      <w:r>
        <w:fldChar w:fldCharType="begin"/>
      </w:r>
      <w:r>
        <w:rPr>
          <w:shd w:val="clear" w:color="auto" w:fill="FFFFFF"/>
        </w:rPr>
        <w:instrText xml:space="preserve">ADDIN EN.CITE </w:instrText>
      </w:r>
      <w:r>
        <w:rPr>
          <w:shd w:val="clear" w:color="auto" w:fill="FFFFFF"/>
        </w:rPr>
        <w:instrText>&lt;EndNote&gt;&lt;Cite&gt;&lt;Author&gt;Lohr&lt;/Author&gt;&lt;Year&gt;2020&lt;/Year&gt;&lt;RecNum&gt;1240&lt;/RecNum&gt;&lt;DisplayText&gt;&lt;style face="superscript"&gt;34&lt;/style&gt;&lt;/DisplayText&gt;&lt;record&gt;&lt;rec-number&gt;1240&lt;/rec-number&gt;&lt;foreign-keys&gt;&lt;key app="EN" db-id="5v5xpasrytpefpe52xr5a9vvtrww9ts0p9d9" timestamp</w:instrText>
      </w:r>
      <w:r>
        <w:rPr>
          <w:shd w:val="clear" w:color="auto" w:fill="FFFFFF"/>
        </w:rPr>
        <w:instrText>="1598097884"&gt;1240&lt;/key&gt;&lt;/foreign-keys&gt;&lt;ref-type name="Book Section"&gt;5&lt;/ref-type&gt;&lt;contributors&gt;&lt;authors&gt;&lt;author&gt;Lohr, P.&lt;/author&gt;&lt;author&gt;Lord, J.&lt;/author&gt;&lt;author&gt;Rowlands, S.&lt;/author&gt;&lt;/authors&gt;&lt;secondary-authors&gt;&lt;author&gt;Sheldon S, Wellings K&lt;/author&gt;&lt;/seco</w:instrText>
      </w:r>
      <w:r>
        <w:rPr>
          <w:shd w:val="clear" w:color="auto" w:fill="FFFFFF"/>
        </w:rPr>
        <w:instrText>ndary-authors&gt;&lt;/contributors&gt;&lt;titles&gt;&lt;title&gt;How would decriminalisation affect women’s health?&lt;/title&gt;&lt;secondary-title&gt;Decriminalising abortion in the UK&lt;/secondary-title&gt;&lt;/titles&gt;&lt;pages&gt;37-56&lt;/pages&gt;&lt;section&gt;3&lt;/section&gt;&lt;dates&gt;&lt;year&gt;2020&lt;/year&gt;&lt;/dates&gt;&lt;pub</w:instrText>
      </w:r>
      <w:r>
        <w:rPr>
          <w:shd w:val="clear" w:color="auto" w:fill="FFFFFF"/>
        </w:rPr>
        <w:instrText>-location&gt;Bristol, UK&lt;/pub-location&gt;&lt;publisher&gt;Policy Press, University of Bristol&lt;/publisher&gt;&lt;isbn&gt;978-1-4473-5401-7&lt;/isbn&gt;&lt;urls&gt;&lt;related-urls&gt;&lt;url&gt;https://library.oapen.org/handle/20.500.12657/22301&lt;/url&gt;&lt;/related-urls&gt;&lt;/urls&gt;&lt;/record&gt;&lt;/Cite&gt;&lt;Cite&gt;&lt;Autho</w:instrText>
      </w:r>
      <w:r>
        <w:rPr>
          <w:shd w:val="clear" w:color="auto" w:fill="FFFFFF"/>
        </w:rPr>
        <w:instrText>r&gt;Lohr&lt;/Author&gt;&lt;Year&gt;2020&lt;/Year&gt;&lt;RecNum&gt;1240&lt;/RecNum&gt;&lt;record&gt;&lt;rec-number&gt;1240&lt;/rec-number&gt;&lt;foreign-keys&gt;&lt;key app="EN" db-id="5v5xpasrytpefpe52xr5a9vvtrww9ts0p9d9" timestamp="1598097884"&gt;1240&lt;/key&gt;&lt;/foreign-keys&gt;&lt;ref-type name="Book Section"&gt;5&lt;/ref-type&gt;&lt;co</w:instrText>
      </w:r>
      <w:r>
        <w:rPr>
          <w:shd w:val="clear" w:color="auto" w:fill="FFFFFF"/>
        </w:rPr>
        <w:instrText>ntributors&gt;&lt;authors&gt;&lt;author&gt;Lohr, P.&lt;/author&gt;&lt;author&gt;Lord, J.&lt;/author&gt;&lt;author&gt;Rowlands, S.&lt;/author&gt;&lt;/authors&gt;&lt;secondary-authors&gt;&lt;author&gt;Sheldon S, Wellings K&lt;/author&gt;&lt;/secondary-authors&gt;&lt;/contributors&gt;&lt;titles&gt;&lt;title&gt;How would decriminalisation affect women</w:instrText>
      </w:r>
      <w:r>
        <w:rPr>
          <w:shd w:val="clear" w:color="auto" w:fill="FFFFFF"/>
        </w:rPr>
        <w:instrText>’s health?&lt;/title&gt;&lt;secondary-title&gt;Decriminalising abortion in the UK&lt;/secondary-title&gt;&lt;/titles&gt;&lt;pages&gt;37-56&lt;/pages&gt;&lt;section&gt;3&lt;/section&gt;&lt;dates&gt;&lt;year&gt;2020&lt;/year&gt;&lt;/dates&gt;&lt;pub-location&gt;Bristol, UK&lt;/pub-location&gt;&lt;publisher&gt;Policy Press, University of Bristol&lt;/</w:instrText>
      </w:r>
      <w:r>
        <w:rPr>
          <w:shd w:val="clear" w:color="auto" w:fill="FFFFFF"/>
        </w:rPr>
        <w:instrText>publisher&gt;&lt;isbn&gt;978-1-4473-5401-7&lt;/isbn&gt;&lt;urls&gt;&lt;related-urls&gt;&lt;url&gt;https://library.oapen.org/handle/20.500.12657/22301&lt;/url&gt;&lt;/related-urls&gt;&lt;/urls&gt;&lt;/record&gt;&lt;/Cite&gt;&lt;/EndNote&gt;</w:instrText>
      </w:r>
      <w:r>
        <w:rPr>
          <w:shd w:val="clear" w:color="auto" w:fill="FFFFFF"/>
        </w:rPr>
        <w:fldChar w:fldCharType="separate"/>
      </w:r>
      <w:r>
        <w:rPr>
          <w:shd w:val="clear" w:color="auto" w:fill="FFFFFF"/>
          <w:vertAlign w:val="superscript"/>
        </w:rPr>
        <w:t>34</w:t>
      </w:r>
      <w:r>
        <w:rPr>
          <w:shd w:val="clear" w:color="auto" w:fill="FFFFFF"/>
        </w:rPr>
        <w:fldChar w:fldCharType="end"/>
      </w:r>
      <w:r>
        <w:rPr>
          <w:shd w:val="clear" w:color="auto" w:fill="FFFFFF"/>
        </w:rPr>
        <w:t>).   Whilst those in this group would have been offered alternative treatment cho</w:t>
      </w:r>
      <w:r>
        <w:rPr>
          <w:shd w:val="clear" w:color="auto" w:fill="FFFFFF"/>
        </w:rPr>
        <w:t xml:space="preserve">ices had their true gestation been known, every woman </w:t>
      </w:r>
      <w:r>
        <w:rPr>
          <w:shd w:val="clear" w:color="auto" w:fill="FFFFFF"/>
        </w:rPr>
        <w:t xml:space="preserve">who requested one </w:t>
      </w:r>
      <w:r>
        <w:rPr>
          <w:shd w:val="clear" w:color="auto" w:fill="FFFFFF"/>
        </w:rPr>
        <w:t xml:space="preserve">received a safe and effective abortion </w:t>
      </w:r>
      <w:r>
        <w:rPr>
          <w:shd w:val="clear" w:color="auto" w:fill="FFFFFF"/>
        </w:rPr>
        <w:t xml:space="preserve">at home </w:t>
      </w:r>
      <w:r>
        <w:rPr>
          <w:shd w:val="clear" w:color="auto" w:fill="FFFFFF"/>
        </w:rPr>
        <w:t xml:space="preserve">which was the objective of treatment.   </w:t>
      </w:r>
    </w:p>
    <w:p w:rsidR="003552DE" w:rsidRDefault="003552DE">
      <w:pPr>
        <w:rPr>
          <w:shd w:val="clear" w:color="auto" w:fill="FFFFFF"/>
        </w:rPr>
      </w:pPr>
    </w:p>
    <w:p w:rsidR="003552DE" w:rsidRDefault="00DE001E">
      <w:pPr>
        <w:rPr>
          <w:shd w:val="clear" w:color="auto" w:fill="FFFFFF"/>
        </w:rPr>
      </w:pPr>
      <w:r>
        <w:rPr>
          <w:shd w:val="clear" w:color="auto" w:fill="FFFFFF"/>
        </w:rPr>
        <w:t>It is unknown what the impact of the COVID-19 pandemic was on women seeking abortion, but it is</w:t>
      </w:r>
      <w:r>
        <w:rPr>
          <w:shd w:val="clear" w:color="auto" w:fill="FFFFFF"/>
        </w:rPr>
        <w:t xml:space="preserve"> possible that </w:t>
      </w:r>
      <w:r>
        <w:rPr>
          <w:shd w:val="clear" w:color="auto" w:fill="FFFFFF"/>
        </w:rPr>
        <w:t>the du</w:t>
      </w:r>
      <w:r>
        <w:rPr>
          <w:shd w:val="clear" w:color="auto" w:fill="FFFFFF"/>
        </w:rPr>
        <w:t>a</w:t>
      </w:r>
      <w:r>
        <w:rPr>
          <w:shd w:val="clear" w:color="auto" w:fill="FFFFFF"/>
        </w:rPr>
        <w:t xml:space="preserve">l </w:t>
      </w:r>
      <w:r>
        <w:rPr>
          <w:shd w:val="clear" w:color="auto" w:fill="FFFFFF"/>
        </w:rPr>
        <w:t xml:space="preserve">fear </w:t>
      </w:r>
      <w:r>
        <w:rPr>
          <w:shd w:val="clear" w:color="auto" w:fill="FFFFFF"/>
        </w:rPr>
        <w:t xml:space="preserve">both </w:t>
      </w:r>
      <w:r>
        <w:rPr>
          <w:shd w:val="clear" w:color="auto" w:fill="FFFFFF"/>
        </w:rPr>
        <w:t xml:space="preserve">of an ongoing pregnancy, and of attending a healthcare facility, could have influenced </w:t>
      </w:r>
      <w:r>
        <w:rPr>
          <w:shd w:val="clear" w:color="auto" w:fill="FFFFFF"/>
        </w:rPr>
        <w:t>how they presented</w:t>
      </w:r>
      <w:r>
        <w:rPr>
          <w:shd w:val="clear" w:color="auto" w:fill="FFFFFF"/>
        </w:rPr>
        <w:t xml:space="preserve">.   </w:t>
      </w:r>
      <w:r>
        <w:rPr>
          <w:shd w:val="clear" w:color="auto" w:fill="FFFFFF"/>
        </w:rPr>
        <w:t>There is evidence that the rate of seeking illicit abortion medication reduced significantly in the UK, and the m</w:t>
      </w:r>
      <w:r>
        <w:rPr>
          <w:shd w:val="clear" w:color="auto" w:fill="FFFFFF"/>
        </w:rPr>
        <w:t xml:space="preserve">ost </w:t>
      </w:r>
      <w:r>
        <w:rPr>
          <w:shd w:val="clear" w:color="auto" w:fill="FFFFFF"/>
        </w:rPr>
        <w:t>likely</w:t>
      </w:r>
      <w:r>
        <w:rPr>
          <w:shd w:val="clear" w:color="auto" w:fill="FFFFFF"/>
        </w:rPr>
        <w:t xml:space="preserve"> </w:t>
      </w:r>
      <w:r>
        <w:rPr>
          <w:shd w:val="clear" w:color="auto" w:fill="FFFFFF"/>
        </w:rPr>
        <w:t>explanation is that this was owing to easier access from the regulated sector via telemedicine</w:t>
      </w:r>
      <w:r>
        <w:rPr>
          <w:shd w:val="clear" w:color="auto" w:fill="FFFFFF"/>
        </w:rPr>
        <w:t xml:space="preserve"> as the opposite was seen in sever</w:t>
      </w:r>
      <w:r>
        <w:rPr>
          <w:shd w:val="clear" w:color="auto" w:fill="FFFFFF"/>
        </w:rPr>
        <w:t xml:space="preserve">al </w:t>
      </w:r>
      <w:r>
        <w:rPr>
          <w:shd w:val="clear" w:color="auto" w:fill="FFFFFF"/>
        </w:rPr>
        <w:t xml:space="preserve">other </w:t>
      </w:r>
      <w:r>
        <w:rPr>
          <w:shd w:val="clear" w:color="auto" w:fill="FFFFFF"/>
        </w:rPr>
        <w:t xml:space="preserve">European countries </w:t>
      </w:r>
      <w:r>
        <w:rPr>
          <w:shd w:val="clear" w:color="auto" w:fill="FFFFFF"/>
        </w:rPr>
        <w:t xml:space="preserve">who made no such provision </w:t>
      </w:r>
      <w:r>
        <w:rPr>
          <w:shd w:val="clear" w:color="auto" w:fill="FFFFFF"/>
        </w:rPr>
        <w:t xml:space="preserve">[# - holding ref. </w:t>
      </w:r>
      <w:r>
        <w:rPr>
          <w:rFonts w:ascii="Gill Sans MT" w:hAnsi="Gill Sans MT"/>
          <w:color w:val="333333"/>
          <w:shd w:val="clear" w:color="auto" w:fill="FFFFFF"/>
        </w:rPr>
        <w:t>https://doi.org/10.1101/2020.09.15.20195222</w:t>
      </w:r>
      <w:r>
        <w:rPr>
          <w:shd w:val="clear" w:color="auto" w:fill="FFFFFF"/>
        </w:rPr>
        <w:t>]</w:t>
      </w:r>
      <w:r>
        <w:rPr>
          <w:shd w:val="clear" w:color="auto" w:fill="FFFFFF"/>
        </w:rPr>
        <w:t xml:space="preserve">.   </w:t>
      </w:r>
      <w:r>
        <w:rPr>
          <w:shd w:val="clear" w:color="auto" w:fill="FFFFFF"/>
        </w:rPr>
        <w:t xml:space="preserve">Whilst it is impossible to know whether there is an overlap in those with late gestation and those who would previously have sought </w:t>
      </w:r>
      <w:r>
        <w:rPr>
          <w:shd w:val="clear" w:color="auto" w:fill="FFFFFF"/>
        </w:rPr>
        <w:t>abortion from unregulated sources, they do represent a highly vulnerable pop</w:t>
      </w:r>
      <w:r>
        <w:rPr>
          <w:shd w:val="clear" w:color="auto" w:fill="FFFFFF"/>
        </w:rPr>
        <w:t xml:space="preserve">ulation where later presentation is commoner, and who are most likely to benefit from the safeguarding and protection that can be offered through regulated, local abortion providers.   </w:t>
      </w:r>
    </w:p>
    <w:p w:rsidR="003552DE" w:rsidRDefault="003552DE">
      <w:pPr>
        <w:rPr>
          <w:shd w:val="clear" w:color="auto" w:fill="FFFFFF"/>
        </w:rPr>
      </w:pPr>
    </w:p>
    <w:p w:rsidR="003552DE" w:rsidRDefault="00DE001E">
      <w:r>
        <w:rPr>
          <w:shd w:val="clear" w:color="auto" w:fill="FFFFFF"/>
        </w:rPr>
        <w:t xml:space="preserve">The implementation of the telemedicine pathway had </w:t>
      </w:r>
      <w:r>
        <w:rPr>
          <w:shd w:val="clear" w:color="auto" w:fill="FFFFFF"/>
        </w:rPr>
        <w:t xml:space="preserve">to be rapid owing to the developing pandemic.   There was therefore no time to test the </w:t>
      </w:r>
      <w:r>
        <w:rPr>
          <w:shd w:val="clear" w:color="auto" w:fill="FFFFFF"/>
        </w:rPr>
        <w:t xml:space="preserve">accuracy of each element of the </w:t>
      </w:r>
      <w:r>
        <w:rPr>
          <w:shd w:val="clear" w:color="auto" w:fill="FFFFFF"/>
        </w:rPr>
        <w:t xml:space="preserve">decision aid </w:t>
      </w:r>
      <w:r>
        <w:rPr>
          <w:shd w:val="clear" w:color="auto" w:fill="FFFFFF"/>
        </w:rPr>
        <w:t>that determines who is eligible for TEMA</w:t>
      </w:r>
      <w:r>
        <w:fldChar w:fldCharType="begin"/>
      </w:r>
      <w:r>
        <w:rPr>
          <w:shd w:val="clear" w:color="auto" w:fill="FFFFFF"/>
        </w:rPr>
        <w:instrText>ADDIN EN.CITE &lt;EndNote&gt;&lt;Cite&gt;&lt;Author&gt;Royal College of Obstetricians and Gynaecologi</w:instrText>
      </w:r>
      <w:r>
        <w:rPr>
          <w:shd w:val="clear" w:color="auto" w:fill="FFFFFF"/>
        </w:rPr>
        <w:instrText>sts (RCOG)&lt;/Author&gt;&lt;Year&gt;2020&lt;/Year&gt;&lt;RecNum&gt;1236&lt;/RecNum&gt;&lt;DisplayText&gt;&lt;style face="superscript"&gt;21&lt;/style&gt;&lt;/DisplayText&gt;&lt;record&gt;&lt;rec-number&gt;1236&lt;/rec-number&gt;&lt;foreign-keys&gt;&lt;key app="EN" db-id="5v5xpasrytpefpe52xr5a9vvtrww9ts0p9d9" timestamp="1598046863"&gt;123</w:instrText>
      </w:r>
      <w:r>
        <w:rPr>
          <w:shd w:val="clear" w:color="auto" w:fill="FFFFFF"/>
        </w:rPr>
        <w:instrText>6&lt;/key&gt;&lt;/foreign-keys&gt;&lt;ref-type name="Report"&gt;27&lt;/ref-type&gt;&lt;contributors&gt;&lt;authors&gt;&lt;author&gt;Royal College of Obstetricians and Gynaecologists (RCOG), &lt;/author&gt;&lt;/authors&gt;&lt;secondary-authors&gt;&lt;author&gt;Royal College of Obstetricians and Gynaecologists (RCOG), &lt;/au</w:instrText>
      </w:r>
      <w:r>
        <w:rPr>
          <w:shd w:val="clear" w:color="auto" w:fill="FFFFFF"/>
        </w:rPr>
        <w:instrText>thor&gt;&lt;/secondary-authors&gt;&lt;tertiary-authors&gt;&lt;author&gt;Royal College of Obstetricians and Gynaecologists (RCOG), &lt;/author&gt;&lt;/tertiary-authors&gt;&lt;/contributors&gt;&lt;titles&gt;&lt;title&gt;Decision aid for early medical abortion without ultrasound&lt;/title&gt;&lt;secondary-title&gt;Corona</w:instrText>
      </w:r>
      <w:r>
        <w:rPr>
          <w:shd w:val="clear" w:color="auto" w:fill="FFFFFF"/>
        </w:rPr>
        <w:instrText>virus (COVID-19) and gynaecological services&lt;/secondary-title&gt;&lt;/titles&gt;&lt;dates&gt;&lt;year&gt;2020&lt;/year&gt;&lt;/dates&gt;&lt;pub-location&gt;London&lt;/pub-location&gt;&lt;publisher&gt;Royal College of Obstetricians and Gynaecologists (RCOG), &lt;/publisher&gt;&lt;urls&gt;&lt;related-urls&gt;&lt;url&gt;https://www.</w:instrText>
      </w:r>
      <w:r>
        <w:rPr>
          <w:shd w:val="clear" w:color="auto" w:fill="FFFFFF"/>
        </w:rPr>
        <w:instrText>rcog.org.uk/globalassets/documents/guidelines/2020-06-04-decision-aid-for-early-medical-abortion-without-ultrasound.pdf&lt;/url&gt;&lt;/related-urls&gt;&lt;/urls&gt;&lt;/record&gt;&lt;/Cite&gt;&lt;/EndNote&gt;</w:instrText>
      </w:r>
      <w:r>
        <w:rPr>
          <w:shd w:val="clear" w:color="auto" w:fill="FFFFFF"/>
        </w:rPr>
        <w:fldChar w:fldCharType="separate"/>
      </w:r>
      <w:r>
        <w:rPr>
          <w:shd w:val="clear" w:color="auto" w:fill="FFFFFF"/>
          <w:vertAlign w:val="superscript"/>
        </w:rPr>
        <w:t>21</w:t>
      </w:r>
      <w:r>
        <w:rPr>
          <w:shd w:val="clear" w:color="auto" w:fill="FFFFFF"/>
        </w:rPr>
        <w:fldChar w:fldCharType="end"/>
      </w:r>
      <w:r>
        <w:rPr>
          <w:shd w:val="clear" w:color="auto" w:fill="FFFFFF"/>
        </w:rPr>
        <w:t xml:space="preserve">.   </w:t>
      </w:r>
      <w:r>
        <w:rPr>
          <w:shd w:val="clear" w:color="auto" w:fill="FFFFFF"/>
        </w:rPr>
        <w:t xml:space="preserve">This would be </w:t>
      </w:r>
      <w:r>
        <w:rPr>
          <w:shd w:val="clear" w:color="auto" w:fill="FFFFFF"/>
        </w:rPr>
        <w:t xml:space="preserve">to investigate in </w:t>
      </w:r>
      <w:r>
        <w:t xml:space="preserve">future research.   </w:t>
      </w:r>
    </w:p>
    <w:p w:rsidR="003552DE" w:rsidRDefault="003552DE">
      <w:pPr>
        <w:rPr>
          <w:shd w:val="clear" w:color="auto" w:fill="FFFFFF"/>
        </w:rPr>
      </w:pPr>
    </w:p>
    <w:p w:rsidR="003552DE" w:rsidRDefault="003552DE">
      <w:pPr>
        <w:rPr>
          <w:shd w:val="clear" w:color="auto" w:fill="FFFFFF"/>
        </w:rPr>
      </w:pPr>
    </w:p>
    <w:p w:rsidR="003552DE" w:rsidRDefault="00DE001E">
      <w:pPr>
        <w:rPr>
          <w:shd w:val="clear" w:color="auto" w:fill="FFFFFF"/>
        </w:rPr>
      </w:pPr>
      <w:r>
        <w:rPr>
          <w:b/>
          <w:shd w:val="clear" w:color="auto" w:fill="FFFFFF"/>
        </w:rPr>
        <w:t>Limitations</w:t>
      </w:r>
    </w:p>
    <w:p w:rsidR="003552DE" w:rsidRDefault="00DE001E">
      <w:pPr>
        <w:rPr>
          <w:shd w:val="clear" w:color="auto" w:fill="FFFFFF"/>
        </w:rPr>
      </w:pPr>
      <w:r>
        <w:rPr>
          <w:shd w:val="clear" w:color="auto" w:fill="FFFFFF"/>
        </w:rPr>
        <w:t>Although a cohort study has limitations and is more prone to bias than randomised controlled trials, the strength of this study is its size and that it includes the majority of women attending for an EMA across a whole national po</w:t>
      </w:r>
      <w:r>
        <w:rPr>
          <w:shd w:val="clear" w:color="auto" w:fill="FFFFFF"/>
        </w:rPr>
        <w:t xml:space="preserve">pulation, making it descriptive rather than sampling.   Although the outcome data were prospectively defined in the trial protocol for the </w:t>
      </w:r>
      <w:r>
        <w:rPr>
          <w:shd w:val="clear" w:color="auto" w:fill="FFFFFF"/>
        </w:rPr>
        <w:t xml:space="preserve">telemedicine </w:t>
      </w:r>
      <w:r>
        <w:rPr>
          <w:shd w:val="clear" w:color="auto" w:fill="FFFFFF"/>
        </w:rPr>
        <w:t xml:space="preserve">cohort, the control group relied on retrospective data collection.   The impact of COVID-19 on the </w:t>
      </w:r>
      <w:r>
        <w:rPr>
          <w:shd w:val="clear" w:color="auto" w:fill="FFFFFF"/>
        </w:rPr>
        <w:t>population means that the two cohorts, whilst similar in terms of demographics and clinical presentation, are likely to have variance in their behaviour and acceptance of risk.   It was impossible to actively follow-up women and therefore only serious adve</w:t>
      </w:r>
      <w:r>
        <w:rPr>
          <w:shd w:val="clear" w:color="auto" w:fill="FFFFFF"/>
        </w:rPr>
        <w:t>rse events can be reported with confidence.   Although it is possible that some women presented to other providers and a</w:t>
      </w:r>
      <w:r>
        <w:rPr>
          <w:shd w:val="clear" w:color="auto" w:fill="FFFFFF"/>
        </w:rPr>
        <w:t xml:space="preserve"> serious</w:t>
      </w:r>
      <w:r>
        <w:rPr>
          <w:shd w:val="clear" w:color="auto" w:fill="FFFFFF"/>
        </w:rPr>
        <w:t xml:space="preserve"> adverse incident was not reported to the provider, in practice the risk management and reporting systems within the NHS are we</w:t>
      </w:r>
      <w:r>
        <w:rPr>
          <w:shd w:val="clear" w:color="auto" w:fill="FFFFFF"/>
        </w:rPr>
        <w:t xml:space="preserve">ll established with serious incidents being routinely shared with regulators who would expect an investigation and action plan.   </w:t>
      </w:r>
      <w:r>
        <w:rPr>
          <w:shd w:val="clear" w:color="auto" w:fill="FFFFFF"/>
        </w:rPr>
        <w:t>Furthermore, i</w:t>
      </w:r>
      <w:r>
        <w:rPr>
          <w:shd w:val="clear" w:color="auto" w:fill="FFFFFF"/>
        </w:rPr>
        <w:t>f there is under-rep</w:t>
      </w:r>
      <w:r>
        <w:rPr>
          <w:shd w:val="clear" w:color="auto" w:fill="FFFFFF"/>
        </w:rPr>
        <w:t>orting there is no reason to suspect that it would be biased to favour the telemedicine</w:t>
      </w:r>
      <w:r>
        <w:rPr>
          <w:shd w:val="clear" w:color="auto" w:fill="FFFFFF"/>
        </w:rPr>
        <w:t xml:space="preserve"> coho</w:t>
      </w:r>
      <w:r>
        <w:rPr>
          <w:shd w:val="clear" w:color="auto" w:fill="FFFFFF"/>
        </w:rPr>
        <w:t>rt</w:t>
      </w:r>
      <w:r>
        <w:rPr>
          <w:shd w:val="clear" w:color="auto" w:fill="FFFFFF"/>
        </w:rPr>
        <w:t xml:space="preserve">.   Indeed, </w:t>
      </w:r>
      <w:r>
        <w:rPr>
          <w:shd w:val="clear" w:color="auto" w:fill="FFFFFF"/>
        </w:rPr>
        <w:t>t</w:t>
      </w:r>
      <w:r>
        <w:rPr>
          <w:shd w:val="clear" w:color="auto" w:fill="FFFFFF"/>
        </w:rPr>
        <w:t xml:space="preserve">he governing body of the NHS in England alerted all commissioners of the need to report incidents relating to TEMA in May, and there were review meetings throughout this time attended by the providers, regulators, government, Royal Colleges and speciality </w:t>
      </w:r>
      <w:r>
        <w:rPr>
          <w:shd w:val="clear" w:color="auto" w:fill="FFFFFF"/>
        </w:rPr>
        <w:t xml:space="preserve">groups to ensure experience was shared.   </w:t>
      </w:r>
      <w:r>
        <w:rPr>
          <w:rFonts w:eastAsia="Calibri" w:cs="Calibri"/>
          <w:color w:val="000000" w:themeColor="text1"/>
        </w:rPr>
        <w:t xml:space="preserve"> We consulted with regulators and national agencies</w:t>
      </w:r>
      <w:r>
        <w:rPr>
          <w:rFonts w:eastAsia="Calibri" w:cs="Calibri"/>
          <w:color w:val="000000" w:themeColor="text1"/>
        </w:rPr>
        <w:t xml:space="preserve"> to ensure </w:t>
      </w:r>
      <w:r>
        <w:rPr>
          <w:rFonts w:eastAsia="Calibri" w:cs="Calibri"/>
          <w:color w:val="000000" w:themeColor="text1"/>
        </w:rPr>
        <w:t xml:space="preserve">that we accounted for </w:t>
      </w:r>
      <w:r>
        <w:rPr>
          <w:rFonts w:eastAsia="Calibri" w:cs="Calibri"/>
          <w:color w:val="000000" w:themeColor="text1"/>
        </w:rPr>
        <w:t>reports made directly to them.  The Care Quality Commission (CQC) confirmed that all cases reported directly through the central NHS database of patient safety incident reports (the National Reporting and Learning System (N</w:t>
      </w:r>
      <w:r>
        <w:rPr>
          <w:rFonts w:eastAsia="Calibri" w:cs="Calibri"/>
          <w:color w:val="000000" w:themeColor="text1"/>
        </w:rPr>
        <w:t>RLS) and the Strategic Executive Information System (StEIS)) were known to the providers</w:t>
      </w:r>
      <w:r>
        <w:rPr>
          <w:shd w:val="clear" w:color="auto" w:fill="FFFFFF"/>
        </w:rPr>
        <w:t xml:space="preserve">.   </w:t>
      </w:r>
    </w:p>
    <w:p w:rsidR="003552DE" w:rsidRDefault="003552DE">
      <w:pPr>
        <w:rPr>
          <w:shd w:val="clear" w:color="auto" w:fill="FFFFFF"/>
        </w:rPr>
      </w:pPr>
    </w:p>
    <w:p w:rsidR="003552DE" w:rsidRDefault="003552DE">
      <w:pPr>
        <w:rPr>
          <w:shd w:val="clear" w:color="auto" w:fill="FFFFFF"/>
        </w:rPr>
      </w:pPr>
    </w:p>
    <w:p w:rsidR="003552DE" w:rsidRDefault="00DE001E">
      <w:pPr>
        <w:rPr>
          <w:b/>
          <w:sz w:val="28"/>
          <w:szCs w:val="28"/>
        </w:rPr>
      </w:pPr>
      <w:r>
        <w:rPr>
          <w:b/>
          <w:sz w:val="28"/>
          <w:szCs w:val="28"/>
        </w:rPr>
        <w:t>Conclusion</w:t>
      </w:r>
    </w:p>
    <w:p w:rsidR="003552DE" w:rsidRDefault="00DE001E">
      <w:pPr>
        <w:rPr>
          <w:shd w:val="clear" w:color="auto" w:fill="FFFFFF"/>
        </w:rPr>
      </w:pPr>
      <w:r>
        <w:t>This large trial</w:t>
      </w:r>
      <w:r>
        <w:t xml:space="preserve"> of 52,145 women</w:t>
      </w:r>
      <w:r>
        <w:t xml:space="preserve">, which includes </w:t>
      </w:r>
      <w:r>
        <w:t xml:space="preserve">84% of all </w:t>
      </w:r>
      <w:r>
        <w:t>medical abortions undertake</w:t>
      </w:r>
      <w:r>
        <w:t>n</w:t>
      </w:r>
      <w:r>
        <w:t xml:space="preserve"> </w:t>
      </w:r>
      <w:r>
        <w:t>in England and Wales</w:t>
      </w:r>
      <w:r>
        <w:t xml:space="preserve">, demonstrates that incorporating remote-access </w:t>
      </w:r>
      <w:r>
        <w:t>telemedicine into the early medical abortion pathway is not inferior to the traditional pathway where all women are seen in person and have an ultrasound scan.</w:t>
      </w:r>
      <w:r>
        <w:t xml:space="preserve">   </w:t>
      </w:r>
      <w:r>
        <w:t>There are advantages – waiting times and gestation at abortion are reduced</w:t>
      </w:r>
      <w:r>
        <w:t xml:space="preserve"> and it is highly rated by women.   There was no evidence of </w:t>
      </w:r>
      <w:r>
        <w:t xml:space="preserve">worse outcomes in haemorrhage, failure rate, need for surgery or </w:t>
      </w:r>
      <w:r>
        <w:t>poor outcome from ectopic pregnancy.   A very small n</w:t>
      </w:r>
      <w:r>
        <w:t xml:space="preserve">umber (0.06%) had gestations later than anticipated, </w:t>
      </w:r>
      <w:r>
        <w:t xml:space="preserve">but this group still aborted successfully at home.   </w:t>
      </w:r>
      <w:r>
        <w:t>Given the advantages to women</w:t>
      </w:r>
      <w:r>
        <w:t xml:space="preserve"> in improving access to care</w:t>
      </w:r>
      <w:r>
        <w:t>, especially in vulnerable groups</w:t>
      </w:r>
      <w:r>
        <w:rPr>
          <w:shd w:val="clear" w:color="auto" w:fill="FFFFFF"/>
        </w:rPr>
        <w:t xml:space="preserve"> </w:t>
      </w:r>
      <w:r>
        <w:t xml:space="preserve">and in resource-poor healthcare systems or </w:t>
      </w:r>
      <w:r>
        <w:t xml:space="preserve">where </w:t>
      </w:r>
      <w:r>
        <w:t xml:space="preserve">women </w:t>
      </w:r>
      <w:r>
        <w:t>have</w:t>
      </w:r>
      <w:r>
        <w:t xml:space="preserve"> to fund their own care</w:t>
      </w:r>
      <w:r>
        <w:t>,</w:t>
      </w:r>
      <w:r>
        <w:t xml:space="preserve"> </w:t>
      </w:r>
      <w:r>
        <w:t>the evidence is compelling that telemedicine should become routine</w:t>
      </w:r>
      <w:r>
        <w:t xml:space="preserve"> in the management of abortion care.   </w:t>
      </w:r>
    </w:p>
    <w:p w:rsidR="003552DE" w:rsidRDefault="003552DE">
      <w:pPr>
        <w:rPr>
          <w:shd w:val="clear" w:color="auto" w:fill="FFFFFF"/>
        </w:rPr>
      </w:pPr>
    </w:p>
    <w:p w:rsidR="003552DE" w:rsidRDefault="003552DE">
      <w:pPr>
        <w:rPr>
          <w:shd w:val="clear" w:color="auto" w:fill="FFFFFF"/>
        </w:rPr>
      </w:pPr>
    </w:p>
    <w:p w:rsidR="003552DE" w:rsidRDefault="00DE001E">
      <w:pPr>
        <w:rPr>
          <w:b/>
          <w:sz w:val="28"/>
          <w:szCs w:val="28"/>
        </w:rPr>
      </w:pPr>
      <w:r>
        <w:br w:type="page"/>
      </w:r>
    </w:p>
    <w:p w:rsidR="003552DE" w:rsidRDefault="00DE001E">
      <w:pPr>
        <w:rPr>
          <w:b/>
          <w:sz w:val="28"/>
          <w:szCs w:val="28"/>
        </w:rPr>
      </w:pPr>
      <w:r>
        <w:rPr>
          <w:b/>
          <w:sz w:val="28"/>
          <w:szCs w:val="28"/>
        </w:rPr>
        <w:lastRenderedPageBreak/>
        <w:t>Tables and Figures</w:t>
      </w:r>
    </w:p>
    <w:p w:rsidR="003552DE" w:rsidRDefault="003552DE">
      <w:pPr>
        <w:rPr>
          <w:shd w:val="clear" w:color="auto" w:fill="FFFFFF"/>
        </w:rPr>
      </w:pPr>
    </w:p>
    <w:p w:rsidR="003552DE" w:rsidRDefault="00DE001E">
      <w:pPr>
        <w:rPr>
          <w:rFonts w:ascii="Times New Roman" w:hAnsi="Times New Roman" w:cs="Times New Roman"/>
          <w:b/>
          <w:bCs/>
        </w:rPr>
      </w:pPr>
      <w:r>
        <w:rPr>
          <w:rFonts w:ascii="Times New Roman" w:hAnsi="Times New Roman" w:cs="Times New Roman"/>
          <w:b/>
          <w:bCs/>
        </w:rPr>
        <w:t>Table 1: Client Clinical and Demographic Characteristics in the Pre-Policy Change and Post-</w:t>
      </w:r>
      <w:r>
        <w:rPr>
          <w:rFonts w:ascii="Times New Roman" w:hAnsi="Times New Roman" w:cs="Times New Roman"/>
          <w:b/>
          <w:bCs/>
        </w:rPr>
        <w:t xml:space="preserve">Policy Change </w:t>
      </w:r>
      <w:r>
        <w:rPr>
          <w:rFonts w:ascii="Times New Roman" w:hAnsi="Times New Roman" w:cs="Times New Roman"/>
          <w:b/>
          <w:bCs/>
        </w:rPr>
        <w:t>Periods (N=52,142)</w:t>
      </w:r>
    </w:p>
    <w:p w:rsidR="003552DE" w:rsidRDefault="003552DE">
      <w:pPr>
        <w:rPr>
          <w:rFonts w:ascii="Times New Roman" w:hAnsi="Times New Roman" w:cs="Times New Roman"/>
        </w:rPr>
      </w:pPr>
    </w:p>
    <w:tbl>
      <w:tblPr>
        <w:tblStyle w:val="TableGrid"/>
        <w:tblW w:w="8095" w:type="dxa"/>
        <w:tblLayout w:type="fixed"/>
        <w:tblLook w:val="04A0" w:firstRow="1" w:lastRow="0" w:firstColumn="1" w:lastColumn="0" w:noHBand="0" w:noVBand="1"/>
      </w:tblPr>
      <w:tblGrid>
        <w:gridCol w:w="3956"/>
        <w:gridCol w:w="1614"/>
        <w:gridCol w:w="1535"/>
        <w:gridCol w:w="990"/>
      </w:tblGrid>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Client Characteristic</w:t>
            </w:r>
          </w:p>
        </w:tc>
        <w:tc>
          <w:tcPr>
            <w:tcW w:w="1614"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Pre Period (N=22,158)</w:t>
            </w:r>
          </w:p>
        </w:tc>
        <w:tc>
          <w:tcPr>
            <w:tcW w:w="1535"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Post Period</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(N=29,984)</w:t>
            </w:r>
          </w:p>
        </w:tc>
        <w:tc>
          <w:tcPr>
            <w:tcW w:w="99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P-value</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gestational age in weeks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         6.4 (1.3)</w:t>
            </w:r>
          </w:p>
        </w:tc>
        <w:tc>
          <w:tcPr>
            <w:tcW w:w="1535"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6.0 (1.4)</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Gestational age</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6 weeks and under</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5,582 (25.2)</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11,947 </w:t>
            </w:r>
            <w:r>
              <w:rPr>
                <w:rFonts w:ascii="Times New Roman" w:eastAsia="Calibri" w:hAnsi="Times New Roman" w:cs="Times New Roman"/>
              </w:rPr>
              <w:t>(39.8)</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Over 6 weeks</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16,576 (74.8)</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18,037 (60.2)</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age in years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27.8 (6.6)</w:t>
            </w:r>
          </w:p>
        </w:tc>
        <w:tc>
          <w:tcPr>
            <w:tcW w:w="1535"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28.5 (6.7)</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Ethnicity </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Asian</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2,038 (9.2)</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2,652 (8.8)</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Black</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1,656 (7.5)</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2,282 (7.6)</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Multiracial</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1,004 (4.5)</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1,361 (4.5)</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White</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15,840 </w:t>
            </w:r>
            <w:r>
              <w:rPr>
                <w:rFonts w:ascii="Times New Roman" w:eastAsia="Calibri" w:hAnsi="Times New Roman" w:cs="Times New Roman"/>
              </w:rPr>
              <w:t>(71.5)</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20,910 (69.7)</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Other</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489 (2.2)</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638 (2.1)</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Unknown</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1,131 (5.1)</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2,141 (7.1)</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Previous abortions</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0</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13,098 (59.1)</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16,741 (55.8)</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9,060 (40.9)</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13,243 (44.2)</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Parity</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0</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10,133 (45.7)</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11,741 (39.2)</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12,025 (54.3)</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18,243 </w:t>
            </w:r>
            <w:r>
              <w:rPr>
                <w:rFonts w:ascii="Times New Roman" w:eastAsia="Calibri" w:hAnsi="Times New Roman" w:cs="Times New Roman"/>
              </w:rPr>
              <w:t>(60.8)</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waiting time in days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10.7 (19.9)</w:t>
            </w:r>
          </w:p>
        </w:tc>
        <w:tc>
          <w:tcPr>
            <w:tcW w:w="1535" w:type="dxa"/>
          </w:tcPr>
          <w:p w:rsidR="003552DE" w:rsidRDefault="00DE001E">
            <w:pPr>
              <w:spacing w:after="0" w:line="240" w:lineRule="auto"/>
              <w:jc w:val="right"/>
              <w:rPr>
                <w:rFonts w:ascii="Times New Roman" w:hAnsi="Times New Roman" w:cs="Times New Roman"/>
                <w:highlight w:val="cyan"/>
              </w:rPr>
            </w:pPr>
            <w:r>
              <w:rPr>
                <w:rFonts w:ascii="Times New Roman" w:eastAsia="Calibri" w:hAnsi="Times New Roman" w:cs="Times New Roman"/>
              </w:rPr>
              <w:t>6.5 (13.5)</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bl>
    <w:p w:rsidR="003552DE" w:rsidRDefault="003552DE"/>
    <w:p w:rsidR="003552DE" w:rsidRDefault="003552DE">
      <w:pPr>
        <w:rPr>
          <w:rFonts w:ascii="Times New Roman" w:hAnsi="Times New Roman" w:cs="Times New Roman"/>
        </w:rPr>
      </w:pPr>
    </w:p>
    <w:p w:rsidR="003552DE" w:rsidRDefault="003552DE">
      <w:pPr>
        <w:rPr>
          <w:rFonts w:ascii="Times New Roman" w:hAnsi="Times New Roman" w:cs="Times New Roman"/>
        </w:rPr>
      </w:pPr>
    </w:p>
    <w:p w:rsidR="003552DE" w:rsidRDefault="00DE001E">
      <w:pPr>
        <w:rPr>
          <w:rFonts w:ascii="Times New Roman" w:hAnsi="Times New Roman" w:cs="Times New Roman"/>
        </w:rPr>
      </w:pPr>
      <w:r>
        <w:br w:type="page"/>
      </w:r>
    </w:p>
    <w:p w:rsidR="003552DE" w:rsidRDefault="00DE001E">
      <w:pPr>
        <w:rPr>
          <w:rFonts w:ascii="Times New Roman" w:hAnsi="Times New Roman" w:cs="Times New Roman"/>
          <w:b/>
          <w:bCs/>
        </w:rPr>
      </w:pPr>
      <w:r>
        <w:rPr>
          <w:rFonts w:ascii="Times New Roman" w:hAnsi="Times New Roman" w:cs="Times New Roman"/>
          <w:b/>
          <w:bCs/>
        </w:rPr>
        <w:lastRenderedPageBreak/>
        <w:t xml:space="preserve">Table 2: Comparison of Effectiveness of </w:t>
      </w:r>
      <w:r>
        <w:rPr>
          <w:rFonts w:ascii="Times New Roman" w:hAnsi="Times New Roman" w:cs="Times New Roman"/>
          <w:b/>
          <w:bCs/>
        </w:rPr>
        <w:t xml:space="preserve">Medical </w:t>
      </w:r>
      <w:r>
        <w:rPr>
          <w:rFonts w:ascii="Times New Roman" w:hAnsi="Times New Roman" w:cs="Times New Roman"/>
          <w:b/>
          <w:bCs/>
        </w:rPr>
        <w:t>Abortions Conducted in the Pre-Policy change vs. the Post-Policy Change period (N=52,142)</w:t>
      </w: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tbl>
      <w:tblPr>
        <w:tblStyle w:val="TableGrid"/>
        <w:tblW w:w="7735" w:type="dxa"/>
        <w:tblLayout w:type="fixed"/>
        <w:tblLook w:val="04A0" w:firstRow="1" w:lastRow="0" w:firstColumn="1" w:lastColumn="0" w:noHBand="0" w:noVBand="1"/>
      </w:tblPr>
      <w:tblGrid>
        <w:gridCol w:w="3685"/>
        <w:gridCol w:w="1530"/>
        <w:gridCol w:w="1530"/>
        <w:gridCol w:w="990"/>
      </w:tblGrid>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Outcome </w:t>
            </w:r>
          </w:p>
        </w:tc>
        <w:tc>
          <w:tcPr>
            <w:tcW w:w="1530"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Pre-Period </w:t>
            </w:r>
          </w:p>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N=22,158</w:t>
            </w:r>
          </w:p>
        </w:tc>
        <w:tc>
          <w:tcPr>
            <w:tcW w:w="1530" w:type="dxa"/>
            <w:shd w:val="clear" w:color="auto" w:fill="auto"/>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Post-period </w:t>
            </w:r>
          </w:p>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N=29,984</w:t>
            </w:r>
          </w:p>
        </w:tc>
        <w:tc>
          <w:tcPr>
            <w:tcW w:w="990" w:type="dxa"/>
            <w:shd w:val="clear" w:color="auto" w:fill="auto"/>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P-value </w:t>
            </w:r>
          </w:p>
        </w:tc>
      </w:tr>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Successful medica</w:t>
            </w:r>
            <w:r>
              <w:rPr>
                <w:rFonts w:ascii="Times New Roman" w:eastAsia="Calibri" w:hAnsi="Times New Roman" w:cs="Times New Roman"/>
                <w:b/>
                <w:bCs/>
              </w:rPr>
              <w:t>l</w:t>
            </w:r>
            <w:r>
              <w:rPr>
                <w:rFonts w:ascii="Times New Roman" w:eastAsia="Calibri" w:hAnsi="Times New Roman" w:cs="Times New Roman"/>
                <w:b/>
                <w:bCs/>
              </w:rPr>
              <w:t xml:space="preserve"> abortion</w:t>
            </w:r>
          </w:p>
        </w:tc>
        <w:tc>
          <w:tcPr>
            <w:tcW w:w="1530"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21,769 (98.2)</w:t>
            </w:r>
          </w:p>
        </w:tc>
        <w:tc>
          <w:tcPr>
            <w:tcW w:w="1530" w:type="dxa"/>
            <w:shd w:val="clear" w:color="auto" w:fill="auto"/>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29,618 (98.8)</w:t>
            </w:r>
          </w:p>
        </w:tc>
        <w:tc>
          <w:tcPr>
            <w:tcW w:w="990" w:type="dxa"/>
            <w:shd w:val="clear" w:color="auto" w:fill="auto"/>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1.0</w:t>
            </w:r>
          </w:p>
        </w:tc>
      </w:tr>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Unsuccessful medica</w:t>
            </w:r>
            <w:r>
              <w:rPr>
                <w:rFonts w:ascii="Times New Roman" w:eastAsia="Calibri" w:hAnsi="Times New Roman" w:cs="Times New Roman"/>
                <w:b/>
                <w:bCs/>
              </w:rPr>
              <w:t>l</w:t>
            </w:r>
            <w:r>
              <w:rPr>
                <w:rFonts w:ascii="Times New Roman" w:eastAsia="Calibri" w:hAnsi="Times New Roman" w:cs="Times New Roman"/>
                <w:b/>
                <w:bCs/>
              </w:rPr>
              <w:t xml:space="preserve"> abortion</w:t>
            </w:r>
          </w:p>
        </w:tc>
        <w:tc>
          <w:tcPr>
            <w:tcW w:w="1530"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389 (1.8)</w:t>
            </w:r>
          </w:p>
        </w:tc>
        <w:tc>
          <w:tcPr>
            <w:tcW w:w="1530"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366 (1.2)</w:t>
            </w:r>
          </w:p>
        </w:tc>
        <w:tc>
          <w:tcPr>
            <w:tcW w:w="990" w:type="dxa"/>
          </w:tcPr>
          <w:p w:rsidR="003552DE" w:rsidRDefault="003552DE">
            <w:pPr>
              <w:spacing w:after="0" w:line="240" w:lineRule="auto"/>
              <w:rPr>
                <w:rFonts w:ascii="Times New Roman" w:hAnsi="Times New Roman" w:cs="Times New Roman"/>
                <w:b/>
                <w:bCs/>
                <w:highlight w:val="cyan"/>
              </w:rPr>
            </w:pP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Continuing pregnancy treated with surgical management </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161 (0.7)</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150 (0.5)</w:t>
            </w:r>
          </w:p>
        </w:tc>
        <w:tc>
          <w:tcPr>
            <w:tcW w:w="99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0.268</w:t>
            </w: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Continuing pregnancy opted to continue or unknown outcome</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3 (0.02)</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8 (0.03)</w:t>
            </w:r>
          </w:p>
        </w:tc>
        <w:tc>
          <w:tcPr>
            <w:tcW w:w="990" w:type="dxa"/>
          </w:tcPr>
          <w:p w:rsidR="003552DE" w:rsidRDefault="003552DE">
            <w:pPr>
              <w:spacing w:after="0" w:line="240" w:lineRule="auto"/>
              <w:rPr>
                <w:rFonts w:ascii="Times New Roman" w:hAnsi="Times New Roman" w:cs="Times New Roman"/>
                <w:highlight w:val="cyan"/>
              </w:rPr>
            </w:pP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Retained products treated with surgical management (ERPC)</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225 (1.0)</w:t>
            </w:r>
          </w:p>
        </w:tc>
        <w:tc>
          <w:tcPr>
            <w:tcW w:w="1530"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208 (0.7)</w:t>
            </w:r>
          </w:p>
        </w:tc>
        <w:tc>
          <w:tcPr>
            <w:tcW w:w="990" w:type="dxa"/>
          </w:tcPr>
          <w:p w:rsidR="003552DE" w:rsidRDefault="003552DE">
            <w:pPr>
              <w:spacing w:after="0" w:line="240" w:lineRule="auto"/>
              <w:rPr>
                <w:rFonts w:ascii="Times New Roman" w:hAnsi="Times New Roman" w:cs="Times New Roman"/>
                <w:highlight w:val="cyan"/>
              </w:rPr>
            </w:pPr>
          </w:p>
        </w:tc>
      </w:tr>
    </w:tbl>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the p-value for Successful medication abortion is the co-variate adjusted p-value (i.e. all differences in client clinical and demographic characteristics, including gestational age, are controlled for) and was calculated using a hypothesis test wher</w:t>
      </w:r>
      <w:r>
        <w:rPr>
          <w:rFonts w:ascii="Times New Roman" w:hAnsi="Times New Roman" w:cs="Times New Roman"/>
        </w:rPr>
        <w:t xml:space="preserve">e the null hypothesis is that the pre-period the same effectiveness rate as the post-period and the alternative hypothesis is that the pre-period has a higher effectiveness rate than the post period. The p-value for Unsuccessful medication abortion is for </w:t>
      </w:r>
      <w:r>
        <w:rPr>
          <w:rFonts w:ascii="Times New Roman" w:hAnsi="Times New Roman" w:cs="Times New Roman"/>
        </w:rPr>
        <w:t xml:space="preserve">the chi-squared test of whether the distribution of types of failure differ between pre and post periods. (This will all be explained in the Methods section of the paper). </w:t>
      </w:r>
    </w:p>
    <w:p w:rsidR="003552DE" w:rsidRDefault="00DE001E">
      <w:pPr>
        <w:rPr>
          <w:rFonts w:ascii="Times New Roman" w:hAnsi="Times New Roman" w:cs="Times New Roman"/>
        </w:rPr>
      </w:pPr>
      <w:r>
        <w:br w:type="page"/>
      </w: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rPr>
          <w:rFonts w:ascii="Times New Roman" w:hAnsi="Times New Roman" w:cs="Times New Roman"/>
          <w:b/>
          <w:bCs/>
        </w:rPr>
        <w:t xml:space="preserve">Table 3: Comparison of </w:t>
      </w:r>
      <w:r>
        <w:rPr>
          <w:rFonts w:ascii="Times New Roman" w:hAnsi="Times New Roman" w:cs="Times New Roman"/>
          <w:b/>
          <w:bCs/>
        </w:rPr>
        <w:t xml:space="preserve">Significant </w:t>
      </w:r>
      <w:r>
        <w:rPr>
          <w:rFonts w:ascii="Times New Roman" w:hAnsi="Times New Roman" w:cs="Times New Roman"/>
          <w:b/>
          <w:bCs/>
        </w:rPr>
        <w:t xml:space="preserve">Adverse </w:t>
      </w:r>
      <w:r>
        <w:rPr>
          <w:rFonts w:ascii="Times New Roman" w:hAnsi="Times New Roman" w:cs="Times New Roman"/>
          <w:b/>
          <w:bCs/>
        </w:rPr>
        <w:t xml:space="preserve">Events </w:t>
      </w:r>
      <w:r>
        <w:rPr>
          <w:rFonts w:ascii="Times New Roman" w:hAnsi="Times New Roman" w:cs="Times New Roman"/>
          <w:b/>
          <w:bCs/>
        </w:rPr>
        <w:t xml:space="preserve">Following </w:t>
      </w:r>
      <w:r>
        <w:rPr>
          <w:rFonts w:ascii="Times New Roman" w:hAnsi="Times New Roman" w:cs="Times New Roman"/>
          <w:b/>
          <w:bCs/>
        </w:rPr>
        <w:t xml:space="preserve">Medical </w:t>
      </w:r>
      <w:r>
        <w:rPr>
          <w:rFonts w:ascii="Times New Roman" w:hAnsi="Times New Roman" w:cs="Times New Roman"/>
          <w:b/>
          <w:bCs/>
        </w:rPr>
        <w:t>Abortions Conducted in the Pre-Policy change vs. the Post-Policy Change period (N=52,142)</w:t>
      </w:r>
    </w:p>
    <w:p w:rsidR="003552DE" w:rsidRDefault="003552DE">
      <w:pPr>
        <w:rPr>
          <w:rFonts w:ascii="Times New Roman" w:hAnsi="Times New Roman" w:cs="Times New Roman"/>
          <w:b/>
          <w:bCs/>
        </w:rPr>
      </w:pPr>
    </w:p>
    <w:tbl>
      <w:tblPr>
        <w:tblStyle w:val="TableGrid"/>
        <w:tblW w:w="8379" w:type="dxa"/>
        <w:tblLayout w:type="fixed"/>
        <w:tblLook w:val="04A0" w:firstRow="1" w:lastRow="0" w:firstColumn="1" w:lastColumn="0" w:noHBand="0" w:noVBand="1"/>
      </w:tblPr>
      <w:tblGrid>
        <w:gridCol w:w="4405"/>
        <w:gridCol w:w="1530"/>
        <w:gridCol w:w="1437"/>
        <w:gridCol w:w="1007"/>
      </w:tblGrid>
      <w:tr w:rsidR="003552DE">
        <w:tc>
          <w:tcPr>
            <w:tcW w:w="440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Outcome</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Pre-Period</w:t>
            </w:r>
          </w:p>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b/>
                <w:bCs/>
              </w:rPr>
              <w:t>(N=22,158)</w:t>
            </w:r>
          </w:p>
        </w:tc>
        <w:tc>
          <w:tcPr>
            <w:tcW w:w="1437"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Post-period </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(N=29,984)</w:t>
            </w:r>
          </w:p>
        </w:tc>
        <w:tc>
          <w:tcPr>
            <w:tcW w:w="1007"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P-value </w:t>
            </w:r>
          </w:p>
        </w:tc>
      </w:tr>
      <w:tr w:rsidR="003552DE">
        <w:tc>
          <w:tcPr>
            <w:tcW w:w="440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Haemorrhage requiring transfusion</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8 (0.04)</w:t>
            </w:r>
          </w:p>
        </w:tc>
        <w:tc>
          <w:tcPr>
            <w:tcW w:w="143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7 (0.02)</w:t>
            </w:r>
          </w:p>
        </w:tc>
        <w:tc>
          <w:tcPr>
            <w:tcW w:w="100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0.557</w:t>
            </w:r>
          </w:p>
        </w:tc>
      </w:tr>
      <w:tr w:rsidR="003552DE">
        <w:tc>
          <w:tcPr>
            <w:tcW w:w="440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Infection requiring IV </w:t>
            </w:r>
            <w:r>
              <w:rPr>
                <w:rFonts w:ascii="Times New Roman" w:eastAsia="Calibri" w:hAnsi="Times New Roman" w:cs="Times New Roman"/>
              </w:rPr>
              <w:t>antibiotics</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43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r w:rsidR="003552DE">
        <w:tc>
          <w:tcPr>
            <w:tcW w:w="440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Major surgery </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43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r w:rsidR="003552DE">
        <w:tc>
          <w:tcPr>
            <w:tcW w:w="440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Death</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43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bl>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the p-value was calculated using a hypothesis test where the null hypothesis is that the pre-period the same rate of adverse events than the post-period and the alternative hypothesis is that the pre-period has a lower rate of adverse events than the</w:t>
      </w:r>
      <w:r>
        <w:rPr>
          <w:rFonts w:ascii="Times New Roman" w:hAnsi="Times New Roman" w:cs="Times New Roman"/>
        </w:rPr>
        <w:t xml:space="preserve"> post period. (This will all be explained in the Methods section of the paper). </w:t>
      </w:r>
    </w:p>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Jonathan brough up one potential presumed IV abx case for the post period. Perhaps you all can discuss whether or not to include it?</w:t>
      </w:r>
    </w:p>
    <w:p w:rsidR="003552DE" w:rsidRDefault="003552DE">
      <w:pPr>
        <w:rPr>
          <w:rFonts w:ascii="Times New Roman" w:hAnsi="Times New Roman" w:cs="Times New Roman"/>
        </w:rPr>
      </w:pPr>
    </w:p>
    <w:p w:rsidR="003552DE" w:rsidRDefault="00DE001E">
      <w:pPr>
        <w:rPr>
          <w:rFonts w:ascii="Times New Roman" w:hAnsi="Times New Roman" w:cs="Times New Roman"/>
        </w:rPr>
      </w:pPr>
      <w:r>
        <w:rPr>
          <w:rFonts w:ascii="Times New Roman" w:hAnsi="Times New Roman" w:cs="Times New Roman"/>
        </w:rPr>
        <w:t>Note: Major surgery not related to</w:t>
      </w:r>
      <w:r>
        <w:rPr>
          <w:rFonts w:ascii="Times New Roman" w:hAnsi="Times New Roman" w:cs="Times New Roman"/>
        </w:rPr>
        <w:t xml:space="preserve"> uterine emptying is not included in the Cleland et al. paper, so there is no “official language”. </w:t>
      </w:r>
      <w:r>
        <w:br w:type="page"/>
      </w:r>
    </w:p>
    <w:p w:rsidR="003552DE" w:rsidRDefault="00DE001E">
      <w:pPr>
        <w:rPr>
          <w:rFonts w:ascii="Times New Roman" w:hAnsi="Times New Roman" w:cs="Times New Roman"/>
          <w:b/>
          <w:bCs/>
        </w:rPr>
      </w:pPr>
      <w:r>
        <w:rPr>
          <w:rFonts w:ascii="Times New Roman" w:hAnsi="Times New Roman" w:cs="Times New Roman"/>
          <w:b/>
          <w:bCs/>
        </w:rPr>
        <w:lastRenderedPageBreak/>
        <w:t>Table 4: Significant Outcomes Among Clients Accessing Medica</w:t>
      </w:r>
      <w:r>
        <w:rPr>
          <w:rFonts w:ascii="Times New Roman" w:hAnsi="Times New Roman" w:cs="Times New Roman"/>
          <w:b/>
          <w:bCs/>
        </w:rPr>
        <w:t>l</w:t>
      </w:r>
      <w:r>
        <w:rPr>
          <w:rFonts w:ascii="Times New Roman" w:hAnsi="Times New Roman" w:cs="Times New Roman"/>
          <w:b/>
          <w:bCs/>
        </w:rPr>
        <w:t xml:space="preserve"> Abortion </w:t>
      </w:r>
      <w:r>
        <w:rPr>
          <w:rFonts w:ascii="Times New Roman" w:hAnsi="Times New Roman" w:cs="Times New Roman"/>
          <w:b/>
          <w:bCs/>
        </w:rPr>
        <w:t>in the Pre-Policy change vs. the Post-Policy Change period (N=52,218)</w:t>
      </w:r>
    </w:p>
    <w:p w:rsidR="003552DE" w:rsidRDefault="003552DE">
      <w:pPr>
        <w:rPr>
          <w:rFonts w:ascii="Times New Roman" w:hAnsi="Times New Roman" w:cs="Times New Roman"/>
          <w:b/>
          <w:bCs/>
        </w:rPr>
      </w:pPr>
    </w:p>
    <w:tbl>
      <w:tblPr>
        <w:tblStyle w:val="TableGrid"/>
        <w:tblW w:w="8365" w:type="dxa"/>
        <w:tblLayout w:type="fixed"/>
        <w:tblLook w:val="04A0" w:firstRow="1" w:lastRow="0" w:firstColumn="1" w:lastColumn="0" w:noHBand="0" w:noVBand="1"/>
      </w:tblPr>
      <w:tblGrid>
        <w:gridCol w:w="3865"/>
        <w:gridCol w:w="1530"/>
        <w:gridCol w:w="1963"/>
        <w:gridCol w:w="1007"/>
      </w:tblGrid>
      <w:tr w:rsidR="003552DE">
        <w:tc>
          <w:tcPr>
            <w:tcW w:w="386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Outcome</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Pre-Period</w:t>
            </w:r>
          </w:p>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b/>
                <w:bCs/>
              </w:rPr>
              <w:t>(N=22,197)</w:t>
            </w:r>
          </w:p>
        </w:tc>
        <w:tc>
          <w:tcPr>
            <w:tcW w:w="1963"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Post-period </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(N=30,021)</w:t>
            </w:r>
          </w:p>
        </w:tc>
        <w:tc>
          <w:tcPr>
            <w:tcW w:w="1007" w:type="dxa"/>
          </w:tcPr>
          <w:p w:rsidR="003552DE" w:rsidRDefault="00DE001E">
            <w:pPr>
              <w:spacing w:after="0" w:line="240" w:lineRule="auto"/>
              <w:jc w:val="right"/>
              <w:rPr>
                <w:rFonts w:ascii="Times New Roman" w:hAnsi="Times New Roman" w:cs="Times New Roman"/>
                <w:b/>
                <w:bCs/>
                <w:highlight w:val="cyan"/>
              </w:rPr>
            </w:pPr>
            <w:r>
              <w:rPr>
                <w:rFonts w:ascii="Times New Roman" w:eastAsia="Calibri" w:hAnsi="Times New Roman" w:cs="Times New Roman"/>
                <w:b/>
                <w:bCs/>
              </w:rPr>
              <w:t xml:space="preserve">P-value </w:t>
            </w:r>
          </w:p>
        </w:tc>
      </w:tr>
      <w:tr w:rsidR="003552DE">
        <w:tc>
          <w:tcPr>
            <w:tcW w:w="386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Ectopic Managed Pre-Treatment </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39 (0.18)</w:t>
            </w:r>
          </w:p>
        </w:tc>
        <w:tc>
          <w:tcPr>
            <w:tcW w:w="1963"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41 (0.14)</w:t>
            </w:r>
          </w:p>
        </w:tc>
        <w:tc>
          <w:tcPr>
            <w:tcW w:w="1007" w:type="dxa"/>
          </w:tcPr>
          <w:p w:rsidR="003552DE" w:rsidRDefault="003552DE">
            <w:pPr>
              <w:spacing w:after="0" w:line="240" w:lineRule="auto"/>
              <w:jc w:val="right"/>
              <w:rPr>
                <w:rFonts w:ascii="Times New Roman" w:hAnsi="Times New Roman" w:cs="Times New Roman"/>
                <w:highlight w:val="cyan"/>
              </w:rPr>
            </w:pPr>
          </w:p>
        </w:tc>
      </w:tr>
      <w:tr w:rsidR="003552DE">
        <w:tc>
          <w:tcPr>
            <w:tcW w:w="386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Ectopic Managed Post-Treatment</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 (0.01)</w:t>
            </w:r>
          </w:p>
        </w:tc>
        <w:tc>
          <w:tcPr>
            <w:tcW w:w="1963"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 (0.03)</w:t>
            </w:r>
          </w:p>
        </w:tc>
        <w:tc>
          <w:tcPr>
            <w:tcW w:w="1007" w:type="dxa"/>
          </w:tcPr>
          <w:p w:rsidR="003552DE" w:rsidRDefault="003552DE">
            <w:pPr>
              <w:spacing w:after="0" w:line="240" w:lineRule="auto"/>
              <w:jc w:val="right"/>
              <w:rPr>
                <w:rFonts w:ascii="Times New Roman" w:hAnsi="Times New Roman" w:cs="Times New Roman"/>
                <w:highlight w:val="cyan"/>
              </w:rPr>
            </w:pPr>
          </w:p>
        </w:tc>
      </w:tr>
      <w:tr w:rsidR="003552DE">
        <w:tc>
          <w:tcPr>
            <w:tcW w:w="386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Gestational age later than expected*</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963"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19 (0.06)</w:t>
            </w:r>
          </w:p>
        </w:tc>
        <w:tc>
          <w:tcPr>
            <w:tcW w:w="1007" w:type="dxa"/>
          </w:tcPr>
          <w:p w:rsidR="003552DE" w:rsidRDefault="003552DE">
            <w:pPr>
              <w:spacing w:after="0" w:line="240" w:lineRule="auto"/>
              <w:jc w:val="right"/>
              <w:rPr>
                <w:rFonts w:ascii="Times New Roman" w:hAnsi="Times New Roman" w:cs="Times New Roman"/>
                <w:highlight w:val="cyan"/>
              </w:rPr>
            </w:pPr>
          </w:p>
        </w:tc>
      </w:tr>
    </w:tbl>
    <w:p w:rsidR="003552DE" w:rsidRDefault="003552DE">
      <w:pPr>
        <w:rPr>
          <w:rFonts w:ascii="Times New Roman" w:hAnsi="Times New Roman" w:cs="Times New Roman"/>
        </w:rPr>
      </w:pPr>
    </w:p>
    <w:p w:rsidR="003552DE" w:rsidRDefault="00DE001E">
      <w:pPr>
        <w:rPr>
          <w:rFonts w:ascii="Times New Roman" w:hAnsi="Times New Roman" w:cs="Times New Roman"/>
        </w:rPr>
      </w:pPr>
      <w:r>
        <w:rPr>
          <w:rFonts w:ascii="Times New Roman" w:hAnsi="Times New Roman" w:cs="Times New Roman"/>
        </w:rPr>
        <w:t xml:space="preserve">Note: The column Ns include those who did not received an EMA because their ectopic pregnancy was identified pre-treatment. </w:t>
      </w:r>
    </w:p>
    <w:p w:rsidR="003552DE" w:rsidRDefault="003552DE">
      <w:pPr>
        <w:rPr>
          <w:rFonts w:ascii="Times New Roman" w:hAnsi="Times New Roman" w:cs="Times New Roman"/>
        </w:rPr>
      </w:pPr>
    </w:p>
    <w:p w:rsidR="003552DE" w:rsidRDefault="00DE001E">
      <w:pPr>
        <w:rPr>
          <w:rFonts w:ascii="Times New Roman" w:hAnsi="Times New Roman" w:cs="Times New Roman"/>
        </w:rPr>
      </w:pPr>
      <w:r>
        <w:rPr>
          <w:rFonts w:ascii="Times New Roman" w:hAnsi="Times New Roman" w:cs="Times New Roman"/>
        </w:rPr>
        <w:t>*Note: The column Ns for the gestational age later than expected category is all EMAs performed in the pre and post period (i.e. N</w:t>
      </w:r>
      <w:r>
        <w:rPr>
          <w:rFonts w:ascii="Times New Roman" w:hAnsi="Times New Roman" w:cs="Times New Roman"/>
        </w:rPr>
        <w:t xml:space="preserve"> = 52,142)</w:t>
      </w:r>
    </w:p>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How do we want to construct the p-value for these comparisons? I don’t think it makes sense to have one for gestational age later than expected, since this wasn’t really a possible outcome in the pre-period. But, there are a number of thi</w:t>
      </w:r>
      <w:r>
        <w:rPr>
          <w:rFonts w:ascii="Times New Roman" w:hAnsi="Times New Roman" w:cs="Times New Roman"/>
        </w:rPr>
        <w:t xml:space="preserve">ngs we could do for the ectopic comparison… </w:t>
      </w: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br w:type="page"/>
      </w:r>
    </w:p>
    <w:p w:rsidR="003552DE" w:rsidRDefault="00DE001E">
      <w:pPr>
        <w:rPr>
          <w:rFonts w:ascii="Times New Roman" w:hAnsi="Times New Roman" w:cs="Times New Roman"/>
          <w:b/>
          <w:bCs/>
        </w:rPr>
      </w:pPr>
      <w:r>
        <w:rPr>
          <w:rFonts w:ascii="Times New Roman" w:hAnsi="Times New Roman" w:cs="Times New Roman"/>
          <w:b/>
          <w:bCs/>
        </w:rPr>
        <w:lastRenderedPageBreak/>
        <w:t>Supplementary Tables to Accompany Text in the Results Section</w:t>
      </w: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rPr>
          <w:rFonts w:ascii="Times New Roman" w:hAnsi="Times New Roman" w:cs="Times New Roman"/>
          <w:b/>
          <w:bCs/>
        </w:rPr>
        <w:t>Table S1: Client Clinical and Demographic Characteristics in the In-Person vs. Telemedicine Groups for the Post-Policy Change Period (N=29,98</w:t>
      </w:r>
      <w:r>
        <w:rPr>
          <w:rFonts w:ascii="Times New Roman" w:hAnsi="Times New Roman" w:cs="Times New Roman"/>
          <w:b/>
          <w:bCs/>
        </w:rPr>
        <w:t>4)</w:t>
      </w:r>
    </w:p>
    <w:p w:rsidR="003552DE" w:rsidRDefault="003552DE">
      <w:pPr>
        <w:rPr>
          <w:rFonts w:ascii="Times New Roman" w:hAnsi="Times New Roman" w:cs="Times New Roman"/>
        </w:rPr>
      </w:pPr>
    </w:p>
    <w:tbl>
      <w:tblPr>
        <w:tblStyle w:val="TableGrid"/>
        <w:tblW w:w="8095" w:type="dxa"/>
        <w:tblLayout w:type="fixed"/>
        <w:tblLook w:val="04A0" w:firstRow="1" w:lastRow="0" w:firstColumn="1" w:lastColumn="0" w:noHBand="0" w:noVBand="1"/>
      </w:tblPr>
      <w:tblGrid>
        <w:gridCol w:w="3956"/>
        <w:gridCol w:w="1614"/>
        <w:gridCol w:w="1535"/>
        <w:gridCol w:w="990"/>
      </w:tblGrid>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Client Characteristic</w:t>
            </w:r>
          </w:p>
        </w:tc>
        <w:tc>
          <w:tcPr>
            <w:tcW w:w="1614"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In-Person (N=11,549)</w:t>
            </w:r>
          </w:p>
        </w:tc>
        <w:tc>
          <w:tcPr>
            <w:tcW w:w="1535"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Telemedicine</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(N=18,435)</w:t>
            </w:r>
          </w:p>
        </w:tc>
        <w:tc>
          <w:tcPr>
            <w:tcW w:w="99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P-value</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gestational age in weeks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         6.2 (1.4)</w:t>
            </w:r>
          </w:p>
        </w:tc>
        <w:tc>
          <w:tcPr>
            <w:tcW w:w="1535"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5.8 (1.3)</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Gestational age</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6 weeks and under</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3,673 (31.8)</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8,274 (44.9)</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Over 6 weeks</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7,876 </w:t>
            </w:r>
            <w:r>
              <w:rPr>
                <w:rFonts w:ascii="Times New Roman" w:eastAsia="Calibri" w:hAnsi="Times New Roman" w:cs="Times New Roman"/>
              </w:rPr>
              <w:t>(68.2)</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10,161 (55.1)</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age in years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27.9 (6.6)</w:t>
            </w:r>
          </w:p>
        </w:tc>
        <w:tc>
          <w:tcPr>
            <w:tcW w:w="1535"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28.9 (6.7)</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Ethnicity </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Asian</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1,060 (9.2)</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1,592 (8.6)</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Black</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946 (8.2)</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1,336 (7.2)</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Multiracial</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557 (4.8)</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804 (4.4)</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White</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7,868 (68.1)</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13,042 (70.7)</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bottom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Other</w:t>
            </w:r>
          </w:p>
        </w:tc>
        <w:tc>
          <w:tcPr>
            <w:tcW w:w="1614"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336 (2.9)</w:t>
            </w:r>
          </w:p>
        </w:tc>
        <w:tc>
          <w:tcPr>
            <w:tcW w:w="1535" w:type="dxa"/>
            <w:tcBorders>
              <w:top w:val="nil"/>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302 </w:t>
            </w:r>
            <w:r>
              <w:rPr>
                <w:rFonts w:ascii="Times New Roman" w:eastAsia="Calibri" w:hAnsi="Times New Roman" w:cs="Times New Roman"/>
              </w:rPr>
              <w:t>(1.6)</w:t>
            </w:r>
          </w:p>
        </w:tc>
        <w:tc>
          <w:tcPr>
            <w:tcW w:w="990" w:type="dxa"/>
            <w:tcBorders>
              <w:top w:val="nil"/>
              <w:bottom w:val="nil"/>
            </w:tcBorders>
          </w:tcPr>
          <w:p w:rsidR="003552DE" w:rsidRDefault="003552DE">
            <w:pPr>
              <w:spacing w:after="0" w:line="240" w:lineRule="auto"/>
              <w:jc w:val="right"/>
              <w:rPr>
                <w:rFonts w:ascii="Times New Roman" w:hAnsi="Times New Roman" w:cs="Times New Roman"/>
              </w:rPr>
            </w:pPr>
          </w:p>
        </w:tc>
      </w:tr>
      <w:tr w:rsidR="003552DE">
        <w:tc>
          <w:tcPr>
            <w:tcW w:w="3955" w:type="dxa"/>
            <w:tcBorders>
              <w:top w:val="nil"/>
            </w:tcBorders>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rPr>
              <w:t>Unknown</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782 (6.8)</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1,359 (7.4)</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Previous abortions</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0</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6,388 (55.3)</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10,353 (56.2)</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5,161 (44.7)</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8,082 (43.8)</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Parity</w:t>
            </w:r>
          </w:p>
        </w:tc>
        <w:tc>
          <w:tcPr>
            <w:tcW w:w="1614" w:type="dxa"/>
          </w:tcPr>
          <w:p w:rsidR="003552DE" w:rsidRDefault="003552DE">
            <w:pPr>
              <w:spacing w:after="0" w:line="240" w:lineRule="auto"/>
              <w:jc w:val="right"/>
              <w:rPr>
                <w:rFonts w:ascii="Times New Roman" w:hAnsi="Times New Roman" w:cs="Times New Roman"/>
              </w:rPr>
            </w:pPr>
          </w:p>
        </w:tc>
        <w:tc>
          <w:tcPr>
            <w:tcW w:w="1535" w:type="dxa"/>
          </w:tcPr>
          <w:p w:rsidR="003552DE" w:rsidRDefault="003552DE">
            <w:pPr>
              <w:spacing w:after="0" w:line="240" w:lineRule="auto"/>
              <w:jc w:val="right"/>
              <w:rPr>
                <w:rFonts w:ascii="Times New Roman" w:hAnsi="Times New Roman" w:cs="Times New Roman"/>
              </w:rPr>
            </w:pPr>
          </w:p>
        </w:tc>
        <w:tc>
          <w:tcPr>
            <w:tcW w:w="990" w:type="dxa"/>
          </w:tcPr>
          <w:p w:rsidR="003552DE" w:rsidRDefault="003552DE">
            <w:pPr>
              <w:spacing w:after="0" w:line="240" w:lineRule="auto"/>
              <w:jc w:val="right"/>
              <w:rPr>
                <w:rFonts w:ascii="Times New Roman" w:hAnsi="Times New Roman" w:cs="Times New Roman"/>
              </w:rPr>
            </w:pPr>
          </w:p>
        </w:tc>
      </w:tr>
      <w:tr w:rsidR="003552DE">
        <w:tc>
          <w:tcPr>
            <w:tcW w:w="3955" w:type="dxa"/>
            <w:tcBorders>
              <w:bottom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0</w:t>
            </w:r>
          </w:p>
        </w:tc>
        <w:tc>
          <w:tcPr>
            <w:tcW w:w="1614"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4,931 (42.7)</w:t>
            </w:r>
          </w:p>
        </w:tc>
        <w:tc>
          <w:tcPr>
            <w:tcW w:w="1535"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 6,810 (36.9)</w:t>
            </w:r>
          </w:p>
        </w:tc>
        <w:tc>
          <w:tcPr>
            <w:tcW w:w="990" w:type="dxa"/>
            <w:tcBorders>
              <w:bottom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955" w:type="dxa"/>
            <w:tcBorders>
              <w:top w:val="nil"/>
            </w:tcBorders>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1+</w:t>
            </w:r>
          </w:p>
        </w:tc>
        <w:tc>
          <w:tcPr>
            <w:tcW w:w="1614"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6,618 (57.3)</w:t>
            </w:r>
          </w:p>
        </w:tc>
        <w:tc>
          <w:tcPr>
            <w:tcW w:w="1535" w:type="dxa"/>
            <w:tcBorders>
              <w:top w:val="nil"/>
            </w:tcBorders>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11,625 (63.1)</w:t>
            </w:r>
          </w:p>
        </w:tc>
        <w:tc>
          <w:tcPr>
            <w:tcW w:w="990" w:type="dxa"/>
            <w:tcBorders>
              <w:top w:val="nil"/>
            </w:tcBorders>
          </w:tcPr>
          <w:p w:rsidR="003552DE" w:rsidRDefault="003552DE">
            <w:pPr>
              <w:spacing w:after="0" w:line="240" w:lineRule="auto"/>
              <w:jc w:val="right"/>
              <w:rPr>
                <w:rFonts w:ascii="Times New Roman" w:hAnsi="Times New Roman" w:cs="Times New Roman"/>
              </w:rPr>
            </w:pPr>
          </w:p>
        </w:tc>
      </w:tr>
      <w:tr w:rsidR="003552DE">
        <w:tc>
          <w:tcPr>
            <w:tcW w:w="395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Mean waiting time in days (s.d.)</w:t>
            </w:r>
          </w:p>
        </w:tc>
        <w:tc>
          <w:tcPr>
            <w:tcW w:w="1614"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9.5 </w:t>
            </w:r>
            <w:r>
              <w:rPr>
                <w:rFonts w:ascii="Times New Roman" w:eastAsia="Calibri" w:hAnsi="Times New Roman" w:cs="Times New Roman"/>
              </w:rPr>
              <w:t>(20.3)</w:t>
            </w:r>
          </w:p>
        </w:tc>
        <w:tc>
          <w:tcPr>
            <w:tcW w:w="1535" w:type="dxa"/>
          </w:tcPr>
          <w:p w:rsidR="003552DE" w:rsidRDefault="00DE001E">
            <w:pPr>
              <w:spacing w:after="0" w:line="240" w:lineRule="auto"/>
              <w:jc w:val="right"/>
              <w:rPr>
                <w:rFonts w:ascii="Times New Roman" w:hAnsi="Times New Roman" w:cs="Times New Roman"/>
                <w:highlight w:val="cyan"/>
              </w:rPr>
            </w:pPr>
            <w:r>
              <w:rPr>
                <w:rFonts w:ascii="Times New Roman" w:eastAsia="Calibri" w:hAnsi="Times New Roman" w:cs="Times New Roman"/>
              </w:rPr>
              <w:t>4.7 (5.6)</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bl>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br w:type="page"/>
      </w: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rPr>
          <w:rFonts w:ascii="Times New Roman" w:hAnsi="Times New Roman" w:cs="Times New Roman"/>
          <w:b/>
          <w:bCs/>
        </w:rPr>
        <w:t xml:space="preserve">Table S2: Comparison of Effectiveness of </w:t>
      </w:r>
      <w:r>
        <w:rPr>
          <w:rFonts w:ascii="Times New Roman" w:hAnsi="Times New Roman" w:cs="Times New Roman"/>
          <w:b/>
          <w:bCs/>
        </w:rPr>
        <w:t xml:space="preserve">Medical </w:t>
      </w:r>
      <w:r>
        <w:rPr>
          <w:rFonts w:ascii="Times New Roman" w:hAnsi="Times New Roman" w:cs="Times New Roman"/>
          <w:b/>
          <w:bCs/>
        </w:rPr>
        <w:t>Abortions Conducted In-Person vs. using Telemedicine for the Post-Policy Change Period (N=29,984)</w:t>
      </w:r>
    </w:p>
    <w:p w:rsidR="003552DE" w:rsidRDefault="003552DE">
      <w:pPr>
        <w:rPr>
          <w:rFonts w:ascii="Times New Roman" w:hAnsi="Times New Roman" w:cs="Times New Roman"/>
          <w:b/>
          <w:bCs/>
        </w:rPr>
      </w:pPr>
    </w:p>
    <w:tbl>
      <w:tblPr>
        <w:tblStyle w:val="TableGrid"/>
        <w:tblW w:w="7735" w:type="dxa"/>
        <w:tblLayout w:type="fixed"/>
        <w:tblLook w:val="04A0" w:firstRow="1" w:lastRow="0" w:firstColumn="1" w:lastColumn="0" w:noHBand="0" w:noVBand="1"/>
      </w:tblPr>
      <w:tblGrid>
        <w:gridCol w:w="3685"/>
        <w:gridCol w:w="1530"/>
        <w:gridCol w:w="1530"/>
        <w:gridCol w:w="990"/>
      </w:tblGrid>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Outcome </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In-Person </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N=11,549</w:t>
            </w:r>
          </w:p>
        </w:tc>
        <w:tc>
          <w:tcPr>
            <w:tcW w:w="1530" w:type="dxa"/>
            <w:shd w:val="clear" w:color="auto" w:fill="auto"/>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Telemedicine </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N=18,435</w:t>
            </w:r>
          </w:p>
        </w:tc>
        <w:tc>
          <w:tcPr>
            <w:tcW w:w="990" w:type="dxa"/>
            <w:shd w:val="clear" w:color="auto" w:fill="auto"/>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P-value </w:t>
            </w:r>
          </w:p>
        </w:tc>
      </w:tr>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Successful </w:t>
            </w:r>
            <w:r>
              <w:rPr>
                <w:rFonts w:ascii="Times New Roman" w:eastAsia="Calibri" w:hAnsi="Times New Roman" w:cs="Times New Roman"/>
                <w:b/>
                <w:bCs/>
              </w:rPr>
              <w:t xml:space="preserve">medical </w:t>
            </w:r>
            <w:r>
              <w:rPr>
                <w:rFonts w:ascii="Times New Roman" w:eastAsia="Calibri" w:hAnsi="Times New Roman" w:cs="Times New Roman"/>
                <w:b/>
                <w:bCs/>
              </w:rPr>
              <w:t>abortion</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11,329 (98.1)</w:t>
            </w:r>
          </w:p>
        </w:tc>
        <w:tc>
          <w:tcPr>
            <w:tcW w:w="1530" w:type="dxa"/>
            <w:shd w:val="clear" w:color="auto" w:fill="auto"/>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18,289 (99.2)</w:t>
            </w:r>
          </w:p>
        </w:tc>
        <w:tc>
          <w:tcPr>
            <w:tcW w:w="990" w:type="dxa"/>
            <w:shd w:val="clear" w:color="auto" w:fill="auto"/>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&lt;0.001</w:t>
            </w:r>
          </w:p>
        </w:tc>
      </w:tr>
      <w:tr w:rsidR="003552DE">
        <w:tc>
          <w:tcPr>
            <w:tcW w:w="3684"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 xml:space="preserve">Unsuccessful </w:t>
            </w:r>
            <w:r>
              <w:rPr>
                <w:rFonts w:ascii="Times New Roman" w:eastAsia="Calibri" w:hAnsi="Times New Roman" w:cs="Times New Roman"/>
                <w:b/>
                <w:bCs/>
              </w:rPr>
              <w:t xml:space="preserve">medical </w:t>
            </w:r>
            <w:r>
              <w:rPr>
                <w:rFonts w:ascii="Times New Roman" w:eastAsia="Calibri" w:hAnsi="Times New Roman" w:cs="Times New Roman"/>
                <w:b/>
                <w:bCs/>
              </w:rPr>
              <w:t>abortion</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220 (1.9)</w:t>
            </w:r>
          </w:p>
        </w:tc>
        <w:tc>
          <w:tcPr>
            <w:tcW w:w="1530"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146 (0.8)</w:t>
            </w:r>
          </w:p>
        </w:tc>
        <w:tc>
          <w:tcPr>
            <w:tcW w:w="990" w:type="dxa"/>
          </w:tcPr>
          <w:p w:rsidR="003552DE" w:rsidRDefault="003552DE">
            <w:pPr>
              <w:spacing w:after="0" w:line="240" w:lineRule="auto"/>
              <w:jc w:val="right"/>
              <w:rPr>
                <w:rFonts w:ascii="Times New Roman" w:hAnsi="Times New Roman" w:cs="Times New Roman"/>
                <w:b/>
                <w:bCs/>
                <w:highlight w:val="cyan"/>
              </w:rPr>
            </w:pP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Continuing pregnancy treated with surgical management </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133 (1.2)</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17 (0.09)</w:t>
            </w:r>
          </w:p>
        </w:tc>
        <w:tc>
          <w:tcPr>
            <w:tcW w:w="99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&lt;0.001</w:t>
            </w: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Continuing </w:t>
            </w:r>
            <w:r>
              <w:rPr>
                <w:rFonts w:ascii="Times New Roman" w:eastAsia="Calibri" w:hAnsi="Times New Roman" w:cs="Times New Roman"/>
              </w:rPr>
              <w:t>pregnancy opted to continue or unknown outcome</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 (0.01)</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7 (0.04)</w:t>
            </w:r>
          </w:p>
        </w:tc>
        <w:tc>
          <w:tcPr>
            <w:tcW w:w="990" w:type="dxa"/>
          </w:tcPr>
          <w:p w:rsidR="003552DE" w:rsidRDefault="003552DE">
            <w:pPr>
              <w:spacing w:after="0" w:line="240" w:lineRule="auto"/>
              <w:jc w:val="right"/>
              <w:rPr>
                <w:rFonts w:ascii="Times New Roman" w:hAnsi="Times New Roman" w:cs="Times New Roman"/>
                <w:highlight w:val="cyan"/>
              </w:rPr>
            </w:pPr>
          </w:p>
        </w:tc>
      </w:tr>
      <w:tr w:rsidR="003552DE">
        <w:tc>
          <w:tcPr>
            <w:tcW w:w="3684"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Retained products treated with surgical management (ERPC)</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86 (0.7)</w:t>
            </w:r>
          </w:p>
        </w:tc>
        <w:tc>
          <w:tcPr>
            <w:tcW w:w="1530"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122 (0.7)</w:t>
            </w:r>
          </w:p>
        </w:tc>
        <w:tc>
          <w:tcPr>
            <w:tcW w:w="990" w:type="dxa"/>
          </w:tcPr>
          <w:p w:rsidR="003552DE" w:rsidRDefault="003552DE">
            <w:pPr>
              <w:spacing w:after="0" w:line="240" w:lineRule="auto"/>
              <w:jc w:val="right"/>
              <w:rPr>
                <w:rFonts w:ascii="Times New Roman" w:hAnsi="Times New Roman" w:cs="Times New Roman"/>
                <w:highlight w:val="cyan"/>
              </w:rPr>
            </w:pPr>
          </w:p>
        </w:tc>
      </w:tr>
    </w:tbl>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the p-value for Successful medication abortion is the co-variate adjusted p-value (i.e. all differences in client clinical and demographic characteristics, including gestational age, are controlled for) and was calculated using a hypothesis test wher</w:t>
      </w:r>
      <w:r>
        <w:rPr>
          <w:rFonts w:ascii="Times New Roman" w:hAnsi="Times New Roman" w:cs="Times New Roman"/>
        </w:rPr>
        <w:t xml:space="preserve">e the null hypothesis is that the in-person has the same effectiveness rate as the telemed group and the alternative hypothesis is that the in-person group has a lower effectiveness rate than the telemedicine group. The p-value for Unsuccessful medication </w:t>
      </w:r>
      <w:r>
        <w:rPr>
          <w:rFonts w:ascii="Times New Roman" w:hAnsi="Times New Roman" w:cs="Times New Roman"/>
        </w:rPr>
        <w:t xml:space="preserve">abortion is for the chi-squared test of whether the distribution of types of failure differ between in-person and telemed groups. (This will all be explained in the Methods section of the paper). </w:t>
      </w: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3552DE">
      <w:pPr>
        <w:rPr>
          <w:rFonts w:ascii="Times New Roman" w:hAnsi="Times New Roman" w:cs="Times New Roman"/>
          <w:b/>
          <w:bCs/>
        </w:rPr>
      </w:pPr>
    </w:p>
    <w:p w:rsidR="003552DE" w:rsidRDefault="00DE001E">
      <w:pPr>
        <w:rPr>
          <w:rFonts w:ascii="Times New Roman" w:hAnsi="Times New Roman" w:cs="Times New Roman"/>
          <w:b/>
          <w:bCs/>
        </w:rPr>
      </w:pPr>
      <w:r>
        <w:br w:type="page"/>
      </w:r>
    </w:p>
    <w:p w:rsidR="003552DE" w:rsidRDefault="00DE001E">
      <w:pPr>
        <w:rPr>
          <w:rFonts w:ascii="Times New Roman" w:hAnsi="Times New Roman" w:cs="Times New Roman"/>
          <w:b/>
          <w:bCs/>
        </w:rPr>
      </w:pPr>
      <w:r>
        <w:rPr>
          <w:rFonts w:ascii="Times New Roman" w:hAnsi="Times New Roman" w:cs="Times New Roman"/>
          <w:b/>
          <w:bCs/>
        </w:rPr>
        <w:lastRenderedPageBreak/>
        <w:t xml:space="preserve">Table S3: Comparison of </w:t>
      </w:r>
      <w:r>
        <w:rPr>
          <w:rFonts w:ascii="Times New Roman" w:hAnsi="Times New Roman" w:cs="Times New Roman"/>
          <w:b/>
          <w:bCs/>
        </w:rPr>
        <w:t xml:space="preserve">Significant </w:t>
      </w:r>
      <w:r>
        <w:rPr>
          <w:rFonts w:ascii="Times New Roman" w:hAnsi="Times New Roman" w:cs="Times New Roman"/>
          <w:b/>
          <w:bCs/>
        </w:rPr>
        <w:t xml:space="preserve">Adverse </w:t>
      </w:r>
      <w:r>
        <w:rPr>
          <w:rFonts w:ascii="Times New Roman" w:hAnsi="Times New Roman" w:cs="Times New Roman"/>
          <w:b/>
          <w:bCs/>
        </w:rPr>
        <w:t>Event</w:t>
      </w:r>
      <w:r>
        <w:rPr>
          <w:rFonts w:ascii="Times New Roman" w:hAnsi="Times New Roman" w:cs="Times New Roman"/>
          <w:b/>
          <w:bCs/>
        </w:rPr>
        <w:t>s</w:t>
      </w:r>
      <w:r>
        <w:rPr>
          <w:rFonts w:ascii="Times New Roman" w:hAnsi="Times New Roman" w:cs="Times New Roman"/>
          <w:b/>
          <w:bCs/>
        </w:rPr>
        <w:t xml:space="preserve"> </w:t>
      </w:r>
      <w:r>
        <w:rPr>
          <w:rFonts w:ascii="Times New Roman" w:hAnsi="Times New Roman" w:cs="Times New Roman"/>
          <w:b/>
          <w:bCs/>
        </w:rPr>
        <w:t xml:space="preserve">Following </w:t>
      </w:r>
      <w:r>
        <w:rPr>
          <w:rFonts w:ascii="Times New Roman" w:hAnsi="Times New Roman" w:cs="Times New Roman"/>
          <w:b/>
          <w:bCs/>
        </w:rPr>
        <w:t>Medical</w:t>
      </w:r>
      <w:r>
        <w:rPr>
          <w:rFonts w:ascii="Times New Roman" w:hAnsi="Times New Roman" w:cs="Times New Roman"/>
          <w:b/>
          <w:bCs/>
        </w:rPr>
        <w:t>Abortions Conducted In-Person vs. using Telemedicine for the Post-Policy Change Period (N=29,984)</w:t>
      </w:r>
    </w:p>
    <w:p w:rsidR="003552DE" w:rsidRDefault="003552DE">
      <w:pPr>
        <w:rPr>
          <w:rFonts w:ascii="Times New Roman" w:hAnsi="Times New Roman" w:cs="Times New Roman"/>
          <w:b/>
          <w:bCs/>
        </w:rPr>
      </w:pPr>
    </w:p>
    <w:tbl>
      <w:tblPr>
        <w:tblStyle w:val="TableGrid"/>
        <w:tblW w:w="8365" w:type="dxa"/>
        <w:tblLayout w:type="fixed"/>
        <w:tblLook w:val="04A0" w:firstRow="1" w:lastRow="0" w:firstColumn="1" w:lastColumn="0" w:noHBand="0" w:noVBand="1"/>
      </w:tblPr>
      <w:tblGrid>
        <w:gridCol w:w="2696"/>
        <w:gridCol w:w="2231"/>
        <w:gridCol w:w="2431"/>
        <w:gridCol w:w="1007"/>
      </w:tblGrid>
      <w:tr w:rsidR="003552DE">
        <w:tc>
          <w:tcPr>
            <w:tcW w:w="2695" w:type="dxa"/>
          </w:tcPr>
          <w:p w:rsidR="003552DE" w:rsidRDefault="00DE001E">
            <w:pPr>
              <w:spacing w:after="0" w:line="240" w:lineRule="auto"/>
              <w:rPr>
                <w:rFonts w:ascii="Times New Roman" w:hAnsi="Times New Roman" w:cs="Times New Roman"/>
                <w:b/>
                <w:bCs/>
              </w:rPr>
            </w:pPr>
            <w:r>
              <w:rPr>
                <w:rFonts w:ascii="Times New Roman" w:eastAsia="Calibri" w:hAnsi="Times New Roman" w:cs="Times New Roman"/>
                <w:b/>
                <w:bCs/>
              </w:rPr>
              <w:t>Outcome</w:t>
            </w:r>
          </w:p>
        </w:tc>
        <w:tc>
          <w:tcPr>
            <w:tcW w:w="2231"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In-Person </w:t>
            </w:r>
          </w:p>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b/>
                <w:bCs/>
              </w:rPr>
              <w:t>N=11,549</w:t>
            </w:r>
          </w:p>
        </w:tc>
        <w:tc>
          <w:tcPr>
            <w:tcW w:w="2431"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Telemedicine </w:t>
            </w:r>
          </w:p>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N=18,435</w:t>
            </w:r>
          </w:p>
        </w:tc>
        <w:tc>
          <w:tcPr>
            <w:tcW w:w="1007" w:type="dxa"/>
          </w:tcPr>
          <w:p w:rsidR="003552DE" w:rsidRDefault="00DE001E">
            <w:pPr>
              <w:spacing w:after="0" w:line="240" w:lineRule="auto"/>
              <w:jc w:val="right"/>
              <w:rPr>
                <w:rFonts w:ascii="Times New Roman" w:hAnsi="Times New Roman" w:cs="Times New Roman"/>
                <w:b/>
                <w:bCs/>
              </w:rPr>
            </w:pPr>
            <w:r>
              <w:rPr>
                <w:rFonts w:ascii="Times New Roman" w:eastAsia="Calibri" w:hAnsi="Times New Roman" w:cs="Times New Roman"/>
                <w:b/>
                <w:bCs/>
              </w:rPr>
              <w:t xml:space="preserve">P-value </w:t>
            </w:r>
          </w:p>
        </w:tc>
      </w:tr>
      <w:tr w:rsidR="003552DE">
        <w:tc>
          <w:tcPr>
            <w:tcW w:w="2695"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Haemorrhage requiring transfusion</w:t>
            </w:r>
          </w:p>
        </w:tc>
        <w:tc>
          <w:tcPr>
            <w:tcW w:w="22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4 (0.03)  </w:t>
            </w:r>
          </w:p>
        </w:tc>
        <w:tc>
          <w:tcPr>
            <w:tcW w:w="24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 xml:space="preserve">3 (0.02)   </w:t>
            </w:r>
          </w:p>
        </w:tc>
        <w:tc>
          <w:tcPr>
            <w:tcW w:w="1007"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0.532</w:t>
            </w:r>
          </w:p>
        </w:tc>
      </w:tr>
      <w:tr w:rsidR="003552DE">
        <w:tc>
          <w:tcPr>
            <w:tcW w:w="2695"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Infection requiring IV antibiotics</w:t>
            </w:r>
          </w:p>
        </w:tc>
        <w:tc>
          <w:tcPr>
            <w:tcW w:w="22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24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r w:rsidR="003552DE">
        <w:tc>
          <w:tcPr>
            <w:tcW w:w="2695"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 xml:space="preserve">Major surgery </w:t>
            </w:r>
          </w:p>
        </w:tc>
        <w:tc>
          <w:tcPr>
            <w:tcW w:w="22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24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r w:rsidR="003552DE">
        <w:tc>
          <w:tcPr>
            <w:tcW w:w="2695" w:type="dxa"/>
          </w:tcPr>
          <w:p w:rsidR="003552DE" w:rsidRDefault="00DE001E">
            <w:pPr>
              <w:spacing w:after="0" w:line="240" w:lineRule="auto"/>
              <w:rPr>
                <w:rFonts w:ascii="Times New Roman" w:hAnsi="Times New Roman" w:cs="Times New Roman"/>
              </w:rPr>
            </w:pPr>
            <w:r>
              <w:rPr>
                <w:rFonts w:ascii="Times New Roman" w:eastAsia="Calibri" w:hAnsi="Times New Roman" w:cs="Times New Roman"/>
              </w:rPr>
              <w:t>Death</w:t>
            </w:r>
          </w:p>
        </w:tc>
        <w:tc>
          <w:tcPr>
            <w:tcW w:w="22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2431" w:type="dxa"/>
          </w:tcPr>
          <w:p w:rsidR="003552DE" w:rsidRDefault="00DE001E">
            <w:pPr>
              <w:spacing w:after="0" w:line="240" w:lineRule="auto"/>
              <w:jc w:val="right"/>
              <w:rPr>
                <w:rFonts w:ascii="Times New Roman" w:hAnsi="Times New Roman" w:cs="Times New Roman"/>
              </w:rPr>
            </w:pPr>
            <w:r>
              <w:rPr>
                <w:rFonts w:ascii="Times New Roman" w:eastAsia="Calibri" w:hAnsi="Times New Roman" w:cs="Times New Roman"/>
              </w:rPr>
              <w:t>0 (0.0)</w:t>
            </w:r>
          </w:p>
        </w:tc>
        <w:tc>
          <w:tcPr>
            <w:tcW w:w="1007" w:type="dxa"/>
          </w:tcPr>
          <w:p w:rsidR="003552DE" w:rsidRDefault="003552DE">
            <w:pPr>
              <w:spacing w:after="0" w:line="240" w:lineRule="auto"/>
              <w:jc w:val="right"/>
              <w:rPr>
                <w:rFonts w:ascii="Times New Roman" w:hAnsi="Times New Roman" w:cs="Times New Roman"/>
              </w:rPr>
            </w:pPr>
          </w:p>
        </w:tc>
      </w:tr>
    </w:tbl>
    <w:p w:rsidR="003552DE" w:rsidRDefault="003552DE">
      <w:pPr>
        <w:rPr>
          <w:rFonts w:ascii="Times New Roman" w:hAnsi="Times New Roman" w:cs="Times New Roman"/>
          <w:b/>
          <w:bCs/>
        </w:rPr>
      </w:pPr>
    </w:p>
    <w:p w:rsidR="003552DE" w:rsidRDefault="00DE001E">
      <w:pPr>
        <w:rPr>
          <w:rFonts w:ascii="Times New Roman" w:hAnsi="Times New Roman" w:cs="Times New Roman"/>
        </w:rPr>
      </w:pPr>
      <w:r>
        <w:rPr>
          <w:rFonts w:ascii="Times New Roman" w:hAnsi="Times New Roman" w:cs="Times New Roman"/>
        </w:rPr>
        <w:t>Note: the p-value was calculated using a hypothesis test where the null hypothesis is that the in-person group has the same rate of adverse events than the telemedicine group and the alternative hypothesis is that the in-person group has a lower rate of ad</w:t>
      </w:r>
      <w:r>
        <w:rPr>
          <w:rFonts w:ascii="Times New Roman" w:hAnsi="Times New Roman" w:cs="Times New Roman"/>
        </w:rPr>
        <w:t xml:space="preserve">verse events than the telemedicine group (This will all be explained in the Methods section of the paper). </w:t>
      </w:r>
    </w:p>
    <w:p w:rsidR="003552DE" w:rsidRDefault="003552DE">
      <w:pPr>
        <w:rPr>
          <w:rFonts w:ascii="Times New Roman" w:hAnsi="Times New Roman" w:cs="Times New Roman"/>
        </w:rPr>
      </w:pPr>
    </w:p>
    <w:p w:rsidR="003552DE" w:rsidRDefault="00DE001E">
      <w:pPr>
        <w:rPr>
          <w:rFonts w:ascii="Times New Roman" w:hAnsi="Times New Roman" w:cs="Times New Roman"/>
          <w:b/>
          <w:bCs/>
        </w:rPr>
      </w:pPr>
      <w:r>
        <w:rPr>
          <w:rFonts w:ascii="Times New Roman" w:hAnsi="Times New Roman" w:cs="Times New Roman"/>
        </w:rPr>
        <w:t>Note: Major surgery not related to uterine emptying is not included in the Cleland et al. paper, so there is no “official language”.</w:t>
      </w:r>
    </w:p>
    <w:p w:rsidR="003552DE" w:rsidRDefault="003552DE">
      <w:pPr>
        <w:rPr>
          <w:shd w:val="clear" w:color="auto" w:fill="FFFFFF"/>
        </w:rPr>
      </w:pPr>
    </w:p>
    <w:p w:rsidR="003552DE" w:rsidRDefault="00DE001E">
      <w:pPr>
        <w:rPr>
          <w:b/>
          <w:sz w:val="28"/>
          <w:szCs w:val="28"/>
        </w:rPr>
      </w:pPr>
      <w:r>
        <w:rPr>
          <w:b/>
          <w:sz w:val="28"/>
          <w:szCs w:val="28"/>
        </w:rPr>
        <w:t>Acknowledgements</w:t>
      </w:r>
    </w:p>
    <w:p w:rsidR="003552DE" w:rsidRDefault="00DE001E">
      <w:pPr>
        <w:rPr>
          <w:shd w:val="clear" w:color="auto" w:fill="FFFFFF"/>
        </w:rPr>
      </w:pPr>
      <w:r>
        <w:rPr>
          <w:rFonts w:eastAsia="Calibri" w:cs="Calibri"/>
        </w:rPr>
        <w:t>We would like to thank the Care Quality Commission (CQC)</w:t>
      </w:r>
      <w:r>
        <w:rPr>
          <w:rFonts w:eastAsia="Calibri" w:cs="Calibri"/>
        </w:rPr>
        <w:t>, NHS England and NHS Improvement (NHSE</w:t>
      </w:r>
      <w:r>
        <w:rPr>
          <w:rFonts w:eastAsia="Calibri" w:cs="Calibri"/>
        </w:rPr>
        <w:t xml:space="preserve"> &amp; </w:t>
      </w:r>
      <w:r>
        <w:rPr>
          <w:rFonts w:eastAsia="Calibri" w:cs="Calibri"/>
        </w:rPr>
        <w:t>I)</w:t>
      </w:r>
      <w:r>
        <w:rPr>
          <w:rFonts w:eastAsia="Calibri" w:cs="Calibri"/>
        </w:rPr>
        <w:t xml:space="preserve">, </w:t>
      </w:r>
      <w:r>
        <w:rPr>
          <w:rFonts w:eastAsia="Calibri" w:cs="Calibri"/>
        </w:rPr>
        <w:t xml:space="preserve">and the </w:t>
      </w:r>
      <w:r>
        <w:rPr>
          <w:rFonts w:eastAsia="Calibri" w:cs="Calibri"/>
        </w:rPr>
        <w:t>National Child Mortality Database (NCMD)</w:t>
      </w:r>
      <w:r>
        <w:rPr>
          <w:rFonts w:eastAsia="Calibri" w:cs="Calibri"/>
        </w:rPr>
        <w:t xml:space="preserve"> </w:t>
      </w:r>
      <w:r>
        <w:rPr>
          <w:rFonts w:eastAsia="Calibri" w:cs="Calibri"/>
        </w:rPr>
        <w:t xml:space="preserve"> for their advice and assistance in ensuring all complications reported </w:t>
      </w:r>
      <w:r>
        <w:rPr>
          <w:rFonts w:eastAsia="Calibri" w:cs="Calibri"/>
        </w:rPr>
        <w:t xml:space="preserve">to them </w:t>
      </w:r>
      <w:r>
        <w:rPr>
          <w:rFonts w:eastAsia="Calibri" w:cs="Calibri"/>
        </w:rPr>
        <w:t>within NHS systems have been included</w:t>
      </w:r>
      <w:r>
        <w:rPr>
          <w:rFonts w:eastAsia="Calibri" w:cs="Calibri"/>
        </w:rPr>
        <w:t xml:space="preserve">.   </w:t>
      </w:r>
    </w:p>
    <w:p w:rsidR="003552DE" w:rsidRDefault="00DE001E">
      <w:r>
        <w:t>Declaration of interest</w:t>
      </w:r>
    </w:p>
    <w:p w:rsidR="003552DE" w:rsidRDefault="00DE001E">
      <w:pPr>
        <w:rPr>
          <w:shd w:val="clear" w:color="auto" w:fill="FFFFFF"/>
        </w:rPr>
      </w:pPr>
      <w:r>
        <w:br w:type="page"/>
      </w:r>
    </w:p>
    <w:p w:rsidR="003552DE" w:rsidRDefault="00DE001E">
      <w:pPr>
        <w:rPr>
          <w:b/>
          <w:sz w:val="28"/>
          <w:szCs w:val="28"/>
        </w:rPr>
      </w:pPr>
      <w:r>
        <w:lastRenderedPageBreak/>
        <w:br w:type="page"/>
      </w:r>
    </w:p>
    <w:p w:rsidR="003552DE" w:rsidRDefault="00DE001E">
      <w:pPr>
        <w:rPr>
          <w:b/>
          <w:sz w:val="28"/>
          <w:szCs w:val="28"/>
        </w:rPr>
      </w:pPr>
      <w:r>
        <w:rPr>
          <w:b/>
          <w:sz w:val="28"/>
          <w:szCs w:val="28"/>
        </w:rPr>
        <w:lastRenderedPageBreak/>
        <w:t>Data Sharing Statement</w:t>
      </w:r>
    </w:p>
    <w:p w:rsidR="003552DE" w:rsidRDefault="00DE001E">
      <w:pPr>
        <w:rPr>
          <w:rFonts w:ascii="Calibri" w:eastAsia="Calibri" w:hAnsi="Calibri" w:cs="Calibri"/>
        </w:rPr>
      </w:pPr>
      <w:r>
        <w:rPr>
          <w:rFonts w:eastAsia="Calibri" w:cs="Calibri"/>
        </w:rPr>
        <w:t xml:space="preserve">The </w:t>
      </w:r>
      <w:r>
        <w:rPr>
          <w:rFonts w:eastAsia="Calibri" w:cs="Calibri"/>
        </w:rPr>
        <w:t xml:space="preserve">collated datasets, which </w:t>
      </w:r>
      <w:r>
        <w:rPr>
          <w:rFonts w:eastAsia="Calibri" w:cs="Calibri"/>
        </w:rPr>
        <w:t xml:space="preserve">include participant data with identifiers, are held by AA at the University of Texas.   </w:t>
      </w:r>
      <w:r>
        <w:rPr>
          <w:rFonts w:eastAsia="Calibri" w:cs="Calibri"/>
        </w:rPr>
        <w:t>Consideration will be given to sharing this with bonefide researchers on application.   The original data resides with the co-authors</w:t>
      </w:r>
      <w:r>
        <w:rPr>
          <w:rFonts w:eastAsia="Calibri" w:cs="Calibri"/>
        </w:rPr>
        <w:t>’</w:t>
      </w:r>
      <w:r>
        <w:rPr>
          <w:rFonts w:eastAsia="Calibri" w:cs="Calibri"/>
        </w:rPr>
        <w:t xml:space="preserve"> own ins</w:t>
      </w:r>
      <w:r>
        <w:rPr>
          <w:rFonts w:eastAsia="Calibri" w:cs="Calibri"/>
        </w:rPr>
        <w:t>t</w:t>
      </w:r>
      <w:r>
        <w:rPr>
          <w:rFonts w:eastAsia="Calibri" w:cs="Calibri"/>
        </w:rPr>
        <w:t xml:space="preserve">itutions.   </w:t>
      </w:r>
      <w:r>
        <w:rPr>
          <w:rFonts w:eastAsia="Calibri" w:cs="Calibri"/>
        </w:rPr>
        <w:t>Although the data is de-identified, some relate to very rare events and could therefore result in identification.   Therefore data on complications, and data arisi</w:t>
      </w:r>
      <w:r>
        <w:rPr>
          <w:rFonts w:eastAsia="Calibri" w:cs="Calibri"/>
        </w:rPr>
        <w:t>ng from clinical incident reports, will be subject to the same access restrictions as those o</w:t>
      </w:r>
      <w:r>
        <w:rPr>
          <w:rFonts w:eastAsia="Calibri" w:cs="Calibri"/>
        </w:rPr>
        <w:t xml:space="preserve">f the organisation supplying it.   </w:t>
      </w:r>
    </w:p>
    <w:p w:rsidR="003552DE" w:rsidRDefault="003552DE">
      <w:pPr>
        <w:rPr>
          <w:rFonts w:ascii="Calibri" w:eastAsia="Calibri" w:hAnsi="Calibri" w:cs="Calibri"/>
        </w:rPr>
      </w:pPr>
    </w:p>
    <w:p w:rsidR="003552DE" w:rsidRDefault="00DE001E">
      <w:pPr>
        <w:rPr>
          <w:b/>
          <w:sz w:val="28"/>
          <w:szCs w:val="28"/>
        </w:rPr>
      </w:pPr>
      <w:r>
        <w:br w:type="page"/>
      </w:r>
    </w:p>
    <w:p w:rsidR="003552DE" w:rsidRDefault="00DE001E">
      <w:pPr>
        <w:rPr>
          <w:b/>
          <w:sz w:val="28"/>
          <w:szCs w:val="28"/>
        </w:rPr>
      </w:pPr>
      <w:r>
        <w:rPr>
          <w:b/>
          <w:sz w:val="28"/>
          <w:szCs w:val="28"/>
        </w:rPr>
        <w:lastRenderedPageBreak/>
        <w:t>References</w:t>
      </w:r>
    </w:p>
    <w:p w:rsidR="003552DE" w:rsidRDefault="00DE001E">
      <w:pPr>
        <w:pStyle w:val="EndNoteBibliographyTitle"/>
      </w:pPr>
      <w:r>
        <w:fldChar w:fldCharType="begin"/>
      </w:r>
      <w:r>
        <w:instrText>ADDIN EN.REFLIST</w:instrText>
      </w:r>
      <w:r>
        <w:fldChar w:fldCharType="separate"/>
      </w:r>
      <w:r>
        <w:t>References</w:t>
      </w:r>
    </w:p>
    <w:p w:rsidR="003552DE" w:rsidRDefault="003552DE">
      <w:pPr>
        <w:pStyle w:val="EndNoteBibliographyTitle"/>
      </w:pPr>
    </w:p>
    <w:p w:rsidR="003552DE" w:rsidRDefault="00DE001E">
      <w:pPr>
        <w:pStyle w:val="EndNoteBibliography"/>
        <w:spacing w:after="0"/>
        <w:ind w:left="720" w:hanging="720"/>
        <w:rPr>
          <w:u w:val="single"/>
        </w:rPr>
      </w:pPr>
      <w:r>
        <w:t xml:space="preserve">1. Dorsey ER, Topol EJ. Telemedicine 2020 and the next decade. </w:t>
      </w:r>
      <w:r>
        <w:rPr>
          <w:i/>
        </w:rPr>
        <w:t>The Lancet</w:t>
      </w:r>
      <w:r>
        <w:t xml:space="preserve"> 2020;395(10227):859. doi: 10.1016/S0140-6736(20)30424-4</w:t>
      </w:r>
      <w:hyperlink r:id="rId9">
        <w:r>
          <w:rPr>
            <w:rStyle w:val="Hyperlink"/>
          </w:rPr>
          <w:t>https://doi.org/10.1016/S0140-6736(20)30424-4</w:t>
        </w:r>
      </w:hyperlink>
    </w:p>
    <w:p w:rsidR="003552DE" w:rsidRDefault="00DE001E">
      <w:pPr>
        <w:pStyle w:val="EndNoteBibliography"/>
        <w:spacing w:after="0"/>
        <w:ind w:left="720" w:hanging="720"/>
        <w:rPr>
          <w:u w:val="single"/>
        </w:rPr>
      </w:pPr>
      <w:r>
        <w:t>2. O’Shea LE, Hawkins JE, Lord J, et al. Access to and sustainability of abortion services: a systematic review and meta-analysis for the National Institute of Health and Care Excellence—new cli</w:t>
      </w:r>
      <w:r>
        <w:t xml:space="preserve">nical guidelines for England. </w:t>
      </w:r>
      <w:r>
        <w:rPr>
          <w:i/>
        </w:rPr>
        <w:t>Human Reproduction Update</w:t>
      </w:r>
      <w:r>
        <w:t xml:space="preserve"> 2020 doi: 10.1093/humupd/dmaa026</w:t>
      </w:r>
      <w:hyperlink r:id="rId10">
        <w:r>
          <w:rPr>
            <w:rStyle w:val="Hyperlink"/>
          </w:rPr>
          <w:t>https://doi.org/10.1093/humupd/dmaa026</w:t>
        </w:r>
      </w:hyperlink>
    </w:p>
    <w:p w:rsidR="003552DE" w:rsidRDefault="00DE001E">
      <w:pPr>
        <w:pStyle w:val="EndNoteBibliography"/>
        <w:spacing w:after="0"/>
        <w:ind w:left="720" w:hanging="720"/>
        <w:rPr>
          <w:u w:val="single"/>
        </w:rPr>
      </w:pPr>
      <w:r>
        <w:t>3. National Institute for Health and Care Excellence (NICE). Abortion C</w:t>
      </w:r>
      <w:r>
        <w:t xml:space="preserve">are. In: National Institute for Health and Care Excellence (NICE), ed. NICE Guideline. London, 2019. </w:t>
      </w:r>
      <w:hyperlink r:id="rId11">
        <w:r>
          <w:rPr>
            <w:rStyle w:val="Hyperlink"/>
          </w:rPr>
          <w:t>www.nice.org.uk/guidance/ng140</w:t>
        </w:r>
      </w:hyperlink>
    </w:p>
    <w:p w:rsidR="003552DE" w:rsidRDefault="00DE001E">
      <w:pPr>
        <w:pStyle w:val="EndNoteBibliography"/>
        <w:spacing w:after="0"/>
        <w:ind w:left="720" w:hanging="720"/>
        <w:rPr>
          <w:u w:val="single"/>
        </w:rPr>
      </w:pPr>
      <w:r>
        <w:t xml:space="preserve">4. National Institute for Health and Care Excellence (NICE). Abortion care.    Evidence Review A - Accessibility and sustainability of abortion services. In: National Institute for Health and Care Excellence (NICE), ed. NICE guideline NG140. London, 2019. </w:t>
      </w:r>
      <w:hyperlink r:id="rId12">
        <w:r>
          <w:rPr>
            <w:rStyle w:val="Hyperlink"/>
          </w:rPr>
          <w:t>www.nice.org.uk/guidance/ng140</w:t>
        </w:r>
      </w:hyperlink>
    </w:p>
    <w:p w:rsidR="003552DE" w:rsidRDefault="00DE001E">
      <w:pPr>
        <w:pStyle w:val="EndNoteBibliography"/>
        <w:spacing w:after="0"/>
        <w:ind w:left="720" w:hanging="720"/>
        <w:rPr>
          <w:u w:val="single"/>
        </w:rPr>
      </w:pPr>
      <w:r>
        <w:t>5. Bearak J, Popinchalk A, Ganatra B, et al. Unintended pregnancy and abortion by income, region, and the legal status of abortion: estimates from a comprehensive model for 19</w:t>
      </w:r>
      <w:r>
        <w:t xml:space="preserve">90-2019. </w:t>
      </w:r>
      <w:r>
        <w:rPr>
          <w:i/>
        </w:rPr>
        <w:t>The Lancet Global Health</w:t>
      </w:r>
      <w:r>
        <w:t xml:space="preserve"> 2020 doi: 10.1016/S2214-109X(20)30315-6 [published Online First: 07/23/2020]. </w:t>
      </w:r>
      <w:hyperlink r:id="rId13">
        <w:r>
          <w:rPr>
            <w:rStyle w:val="Hyperlink"/>
          </w:rPr>
          <w:t>https://doi.org/10.1016/S2214-109X(20)30315-6</w:t>
        </w:r>
      </w:hyperlink>
    </w:p>
    <w:p w:rsidR="003552DE" w:rsidRDefault="00DE001E">
      <w:pPr>
        <w:pStyle w:val="EndNoteBibliography"/>
        <w:ind w:left="720" w:hanging="720"/>
        <w:rPr>
          <w:u w:val="single"/>
        </w:rPr>
      </w:pPr>
      <w:r>
        <w:t>6. Sedgh G, Bearak J, Singh S, et</w:t>
      </w:r>
      <w:r>
        <w:t xml:space="preserve"> al. Abortion incidence between 1990 and 2014: global, regional, and subregional levels and trends. </w:t>
      </w:r>
      <w:r>
        <w:rPr>
          <w:i/>
        </w:rPr>
        <w:t>Lancet</w:t>
      </w:r>
      <w:r>
        <w:t xml:space="preserve"> 2016;388(10041):258-67. doi: S0140-6736(16)30380-4 [pii];10.1016/S0140-6736(16)30380-4 [doi]</w:t>
      </w:r>
      <w:hyperlink r:id="rId14">
        <w:r>
          <w:rPr>
            <w:rStyle w:val="Hyperlink"/>
          </w:rPr>
          <w:t>http://www.ncbi.nlm.nih.gov/pubmed/27179755</w:t>
        </w:r>
      </w:hyperlink>
    </w:p>
    <w:p w:rsidR="003552DE" w:rsidRDefault="00DE001E">
      <w:pPr>
        <w:pStyle w:val="EndNoteBibliography"/>
        <w:spacing w:after="0"/>
        <w:ind w:left="720" w:hanging="720"/>
        <w:rPr>
          <w:u w:val="single"/>
        </w:rPr>
      </w:pPr>
      <w:hyperlink r:id="rId15">
        <w:r>
          <w:rPr>
            <w:rStyle w:val="Hyperlink"/>
          </w:rPr>
          <w:t>https://www.ncbi.nlm.nih.gov/pmc/articles/PMC5498988/pdf/nihms863976.pdf</w:t>
        </w:r>
      </w:hyperlink>
    </w:p>
    <w:p w:rsidR="003552DE" w:rsidRDefault="00DE001E">
      <w:pPr>
        <w:pStyle w:val="EndNoteBibliography"/>
        <w:ind w:left="720" w:hanging="720"/>
        <w:rPr>
          <w:u w:val="single"/>
        </w:rPr>
      </w:pPr>
      <w:r>
        <w:t>7. Regan L, Glasier A. The British 1967 A</w:t>
      </w:r>
      <w:r>
        <w:t xml:space="preserve">bortion Act-still fit for purpose? </w:t>
      </w:r>
      <w:r>
        <w:rPr>
          <w:i/>
        </w:rPr>
        <w:t>Lancet</w:t>
      </w:r>
      <w:r>
        <w:t xml:space="preserve"> 2017;390(10106):1936-37. doi: S0140-6736(17)32753-8 [pii];10.1016/S0140-6736(17)32753-8 [doi]</w:t>
      </w:r>
      <w:hyperlink r:id="rId16">
        <w:r>
          <w:rPr>
            <w:rStyle w:val="Hyperlink"/>
          </w:rPr>
          <w:t>http://www.ncbi.nlm.nih.gov/pubmed/29115218</w:t>
        </w:r>
      </w:hyperlink>
    </w:p>
    <w:p w:rsidR="003552DE" w:rsidRDefault="00DE001E">
      <w:pPr>
        <w:pStyle w:val="EndNoteBibliography"/>
        <w:spacing w:after="0"/>
        <w:ind w:left="720" w:hanging="720"/>
        <w:rPr>
          <w:u w:val="single"/>
        </w:rPr>
      </w:pPr>
      <w:hyperlink r:id="rId17">
        <w:r>
          <w:rPr>
            <w:rStyle w:val="Hyperlink"/>
          </w:rPr>
          <w:t>https://spiral.imperial.ac.uk/handle/10044/1/60995</w:t>
        </w:r>
      </w:hyperlink>
    </w:p>
    <w:p w:rsidR="003552DE" w:rsidRDefault="00DE001E">
      <w:pPr>
        <w:pStyle w:val="EndNoteBibliography"/>
        <w:spacing w:after="0"/>
        <w:ind w:left="720" w:hanging="720"/>
        <w:rPr>
          <w:u w:val="single"/>
        </w:rPr>
      </w:pPr>
      <w:r>
        <w:t>8. Royal College of Obstetrici</w:t>
      </w:r>
      <w:r>
        <w:t xml:space="preserve">ans and Gynaecologists (RCOG). Best practice in  comprehensive abortion care. In: RCOG, ed. Best Practice Paper No 2. London, 2015. </w:t>
      </w:r>
      <w:hyperlink r:id="rId18">
        <w:r>
          <w:rPr>
            <w:rStyle w:val="Hyperlink"/>
          </w:rPr>
          <w:t>https://www.rcog.org.uk/globalassets/documents/guidelines/best-practice-papers/best-practice-paper-2.pdf</w:t>
        </w:r>
      </w:hyperlink>
    </w:p>
    <w:p w:rsidR="003552DE" w:rsidRDefault="00DE001E">
      <w:pPr>
        <w:pStyle w:val="EndNoteBibliography"/>
        <w:spacing w:after="0"/>
        <w:ind w:left="720" w:hanging="720"/>
        <w:rPr>
          <w:u w:val="single"/>
        </w:rPr>
      </w:pPr>
      <w:r>
        <w:t>9. Royal College of Obstetricians and Gynaecologists (RCOG), Royal College of Midwives (RCM), Faculty of Sexual &amp; Reproductive Healthcare (FSRH), et al</w:t>
      </w:r>
      <w:r>
        <w:t xml:space="preserve">. Coronavirus (COVID-19) infection and abortion care. In: RCOG, ed. London, UK: Royal College of Obstetricians and Gynaecologists, 2020. </w:t>
      </w:r>
      <w:hyperlink r:id="rId19">
        <w:r>
          <w:rPr>
            <w:rStyle w:val="Hyperlink"/>
          </w:rPr>
          <w:t>https://www.rcog.org.uk/globalassets/documents/guidelines/2020-07-31-coronavirus-covid-19-infection-and-abortion-care.pdf</w:t>
        </w:r>
      </w:hyperlink>
    </w:p>
    <w:p w:rsidR="003552DE" w:rsidRDefault="00DE001E">
      <w:pPr>
        <w:pStyle w:val="EndNoteBibliography"/>
        <w:spacing w:after="0"/>
        <w:ind w:left="720" w:hanging="720"/>
        <w:rPr>
          <w:u w:val="single"/>
        </w:rPr>
      </w:pPr>
      <w:r>
        <w:t xml:space="preserve">10. (DHSC) DoHSC. The Abortion Act 1967 - Approval of a Class of Places. London: English Government, 2020. </w:t>
      </w:r>
      <w:hyperlink r:id="rId20">
        <w:r>
          <w:rPr>
            <w:rStyle w:val="Hyperlink"/>
          </w:rPr>
          <w:t>https://assets.publishing.service.gov.uk/government/uploads/system/uploa</w:t>
        </w:r>
        <w:r>
          <w:rPr>
            <w:rStyle w:val="Hyperlink"/>
          </w:rPr>
          <w:t>ds/attachment_data/file/876740/30032020_The_Abortion_Act_1967_-_Approval_of_a_Class_of_Places.pdf</w:t>
        </w:r>
      </w:hyperlink>
    </w:p>
    <w:p w:rsidR="003552DE" w:rsidRDefault="00DE001E">
      <w:pPr>
        <w:pStyle w:val="EndNoteBibliography"/>
        <w:spacing w:after="0"/>
        <w:ind w:left="720" w:hanging="720"/>
        <w:rPr>
          <w:u w:val="single"/>
        </w:rPr>
      </w:pPr>
      <w:r>
        <w:t>11. Scottish Government. Abortion – Covid-19 – Approval For Mifepristone to be Taken At Home and Other Contingency Measures. Edinburgh: Scottish Government, 2</w:t>
      </w:r>
      <w:r>
        <w:t xml:space="preserve">020. </w:t>
      </w:r>
      <w:hyperlink r:id="rId21">
        <w:r>
          <w:rPr>
            <w:rStyle w:val="Hyperlink"/>
          </w:rPr>
          <w:t>https://www.sehd.scot.nhs.uk/cmo/CMO(2020)09.pdf</w:t>
        </w:r>
      </w:hyperlink>
    </w:p>
    <w:p w:rsidR="003552DE" w:rsidRDefault="00DE001E">
      <w:pPr>
        <w:pStyle w:val="EndNoteBibliography"/>
        <w:spacing w:after="0"/>
        <w:ind w:left="720" w:hanging="720"/>
        <w:rPr>
          <w:u w:val="single"/>
        </w:rPr>
      </w:pPr>
      <w:r>
        <w:t>12. Welsh Government. The Abortion Act 1967 – Approval of a Class of Place for Treatment for the Termination of Pregnancy (Wales) 2020</w:t>
      </w:r>
      <w:r>
        <w:t xml:space="preserve">. In: Government W, ed. Cardiff: Welsh Government, 2020. </w:t>
      </w:r>
      <w:hyperlink r:id="rId22">
        <w:r>
          <w:rPr>
            <w:rStyle w:val="Hyperlink"/>
          </w:rPr>
          <w:t>https://gov.wales/sites/defaul</w:t>
        </w:r>
        <w:r>
          <w:rPr>
            <w:rStyle w:val="Hyperlink"/>
          </w:rPr>
          <w:t>t/files/publications/2020-04/approval-of-a-class-of-place-for-treatment-for-the-termination-of-pregnancy-wales-2020.pdf</w:t>
        </w:r>
      </w:hyperlink>
    </w:p>
    <w:p w:rsidR="003552DE" w:rsidRDefault="00DE001E">
      <w:pPr>
        <w:pStyle w:val="EndNoteBibliography"/>
        <w:spacing w:after="0"/>
        <w:ind w:left="720" w:hanging="720"/>
        <w:rPr>
          <w:u w:val="single"/>
        </w:rPr>
      </w:pPr>
      <w:r>
        <w:lastRenderedPageBreak/>
        <w:t xml:space="preserve">13. World Health Organization (WHO). Medical management of abortion. Geneva, 2018. </w:t>
      </w:r>
      <w:hyperlink r:id="rId23">
        <w:r>
          <w:rPr>
            <w:rStyle w:val="Hyperlink"/>
          </w:rPr>
          <w:t>www.who.int/reproductivehealth/publications/medical-management-abortion/en/</w:t>
        </w:r>
      </w:hyperlink>
    </w:p>
    <w:p w:rsidR="003552DE" w:rsidRDefault="00DE001E">
      <w:pPr>
        <w:pStyle w:val="EndNoteBibliography"/>
        <w:spacing w:after="0"/>
        <w:ind w:left="720" w:hanging="720"/>
        <w:rPr>
          <w:u w:val="single"/>
        </w:rPr>
      </w:pPr>
      <w:r>
        <w:t>14. Raymond E, Chong E, Winikoff B, et al. TelAbortion: evaluation of a direct to patient telemedicine abortion service in the United Stat</w:t>
      </w:r>
      <w:r>
        <w:t xml:space="preserve">es. </w:t>
      </w:r>
      <w:r>
        <w:rPr>
          <w:i/>
        </w:rPr>
        <w:t>Contraception</w:t>
      </w:r>
      <w:r>
        <w:t xml:space="preserve"> 2019;100(3):173-77. doi: 10.1016/j.contraception.2019.05.013. [published Online First: 2019/06/07]. </w:t>
      </w:r>
      <w:hyperlink r:id="rId24">
        <w:r>
          <w:rPr>
            <w:rStyle w:val="Hyperlink"/>
          </w:rPr>
          <w:t>https://www.contraceptionjournal.org/articl</w:t>
        </w:r>
        <w:r>
          <w:rPr>
            <w:rStyle w:val="Hyperlink"/>
          </w:rPr>
          <w:t>e/S0010-7824(19)30176-3/fulltext</w:t>
        </w:r>
      </w:hyperlink>
    </w:p>
    <w:p w:rsidR="003552DE" w:rsidRDefault="00DE001E">
      <w:pPr>
        <w:pStyle w:val="EndNoteBibliography"/>
        <w:ind w:left="720" w:hanging="720"/>
        <w:rPr>
          <w:u w:val="single"/>
        </w:rPr>
      </w:pPr>
      <w:r>
        <w:t xml:space="preserve">15. Endler M, Lavelanet A, Cleeve A, et al. Telemedicine for medical abortion: a systematic review. </w:t>
      </w:r>
      <w:r>
        <w:rPr>
          <w:i/>
        </w:rPr>
        <w:t>BJOG</w:t>
      </w:r>
      <w:r>
        <w:t xml:space="preserve"> 2019;126(9):1094-102. doi: 10.1111/1471-0528.15684 [doi]</w:t>
      </w:r>
      <w:hyperlink r:id="rId25">
        <w:r>
          <w:rPr>
            <w:rStyle w:val="Hyperlink"/>
          </w:rPr>
          <w:t>http://www.ncbi.nlm.nih.gov/pubmed/30869829</w:t>
        </w:r>
      </w:hyperlink>
    </w:p>
    <w:p w:rsidR="003552DE" w:rsidRDefault="00DE001E">
      <w:pPr>
        <w:pStyle w:val="EndNoteBibliography"/>
        <w:spacing w:after="0"/>
        <w:ind w:left="720" w:hanging="720"/>
        <w:rPr>
          <w:u w:val="single"/>
        </w:rPr>
      </w:pPr>
      <w:hyperlink r:id="rId26">
        <w:r>
          <w:rPr>
            <w:rStyle w:val="Hyperlink"/>
          </w:rPr>
          <w:t>https://obgyn.onlinelibrary.wiley.com/doi/abs/10.1111/1471-0528.15684</w:t>
        </w:r>
      </w:hyperlink>
    </w:p>
    <w:p w:rsidR="003552DE" w:rsidRDefault="00DE001E">
      <w:pPr>
        <w:pStyle w:val="EndNoteBibliography"/>
        <w:spacing w:after="0"/>
        <w:ind w:left="720" w:hanging="720"/>
        <w:rPr>
          <w:u w:val="single"/>
        </w:rPr>
      </w:pPr>
      <w:r>
        <w:t>16. Department of Health &amp; Social Care (DHSC). Abort</w:t>
      </w:r>
      <w:r>
        <w:t xml:space="preserve">ion Statistics, England and Wales: 2019.    Summary information from the abortion notification forms returned to the Chief Medical Officers of England and Wales. January to December 2019. London, 2020. </w:t>
      </w:r>
      <w:hyperlink r:id="rId27">
        <w:r>
          <w:rPr>
            <w:rStyle w:val="Hyperlink"/>
          </w:rPr>
          <w:t>https://assets.publishing.service.gov.uk/government/uploads/system/uploads/attachment_data/file/891405/abortion-statistics-commentary-2019.pdf</w:t>
        </w:r>
      </w:hyperlink>
    </w:p>
    <w:p w:rsidR="003552DE" w:rsidRDefault="00DE001E">
      <w:pPr>
        <w:pStyle w:val="EndNoteBibliography"/>
        <w:spacing w:after="0"/>
        <w:ind w:left="720" w:hanging="720"/>
        <w:rPr>
          <w:u w:val="single"/>
        </w:rPr>
      </w:pPr>
      <w:r>
        <w:t>17. B</w:t>
      </w:r>
      <w:r>
        <w:t xml:space="preserve">ayefsky MJ, Bartz D, Watson KL. Abortion during the Covid-19 Pandemic — Ensuring Access to an Essential Health Service. </w:t>
      </w:r>
      <w:r>
        <w:rPr>
          <w:i/>
        </w:rPr>
        <w:t>New England Journal of Medicine</w:t>
      </w:r>
      <w:r>
        <w:t xml:space="preserve"> 2020;382(19):e47. doi: 10.1056/NEJMp2008006</w:t>
      </w:r>
      <w:hyperlink r:id="rId28">
        <w:r>
          <w:rPr>
            <w:rStyle w:val="Hyperlink"/>
          </w:rPr>
          <w:t>https://www.nejm.org/doi/full/10.1056/NEJMp2008006</w:t>
        </w:r>
      </w:hyperlink>
    </w:p>
    <w:p w:rsidR="003552DE" w:rsidRDefault="00DE001E">
      <w:pPr>
        <w:pStyle w:val="EndNoteBibliography"/>
        <w:spacing w:after="0"/>
        <w:ind w:left="720" w:hanging="720"/>
      </w:pPr>
      <w:r>
        <w:t xml:space="preserve">18. Raymond EG, Grimes DA. The comparative safety of legal induced abortion and childbirth in the United States. </w:t>
      </w:r>
      <w:r>
        <w:rPr>
          <w:i/>
        </w:rPr>
        <w:t>Obstet Gynecol</w:t>
      </w:r>
      <w:r>
        <w:t xml:space="preserve"> 2012;119(2 Pt 1):215-9. doi: 10.1097/AOG.0b013e31823fe923 [published</w:t>
      </w:r>
      <w:r>
        <w:t xml:space="preserve"> Online First: 2012/01/25]. </w:t>
      </w:r>
    </w:p>
    <w:p w:rsidR="003552DE" w:rsidRDefault="00DE001E">
      <w:pPr>
        <w:pStyle w:val="EndNoteBibliography"/>
        <w:ind w:left="720" w:hanging="720"/>
        <w:rPr>
          <w:u w:val="single"/>
        </w:rPr>
      </w:pPr>
      <w:r>
        <w:t xml:space="preserve">19. Costescu D, Guilbert E, Bernardin J, et al. Medical Abortion.   Clinical practice guideline, Society of Obstetricians and Gynaecologists of Canada. </w:t>
      </w:r>
      <w:r>
        <w:rPr>
          <w:i/>
        </w:rPr>
        <w:t>J Obstet Gynaecol Can</w:t>
      </w:r>
      <w:r>
        <w:t xml:space="preserve"> 2016;38(4):366-89. doi: S1701-2163(16)00043-8 [pii];1</w:t>
      </w:r>
      <w:r>
        <w:t>0.1016/j.jogc.2016.01.002 [doi]</w:t>
      </w:r>
      <w:hyperlink r:id="rId29">
        <w:r>
          <w:rPr>
            <w:rStyle w:val="Hyperlink"/>
          </w:rPr>
          <w:t>http://www.ncbi.nlm.nih.gov/pubmed/27208607</w:t>
        </w:r>
      </w:hyperlink>
    </w:p>
    <w:p w:rsidR="003552DE" w:rsidRDefault="00DE001E">
      <w:pPr>
        <w:pStyle w:val="EndNoteBibliography"/>
        <w:spacing w:after="0"/>
        <w:ind w:left="720" w:hanging="720"/>
        <w:rPr>
          <w:u w:val="single"/>
        </w:rPr>
      </w:pPr>
      <w:hyperlink r:id="rId30">
        <w:r>
          <w:rPr>
            <w:rStyle w:val="Hyperlink"/>
          </w:rPr>
          <w:t>https://www.jogc.com/article/S1701-2163(16)00043-8/pdf</w:t>
        </w:r>
      </w:hyperlink>
    </w:p>
    <w:p w:rsidR="003552DE" w:rsidRDefault="00DE001E">
      <w:pPr>
        <w:pStyle w:val="EndNoteBibliography"/>
        <w:spacing w:after="0"/>
        <w:ind w:left="720" w:hanging="720"/>
        <w:rPr>
          <w:u w:val="single"/>
        </w:rPr>
      </w:pPr>
      <w:r>
        <w:t>20. von Elm E, Altman DG, Egger M, et al. The Strengthening the Reporting of Observational Studies in Epidemiology (STROBE) state</w:t>
      </w:r>
      <w:r>
        <w:t xml:space="preserve">ment: guidelines for reporting observational studies. </w:t>
      </w:r>
      <w:r>
        <w:rPr>
          <w:i/>
        </w:rPr>
        <w:t>The Lancet</w:t>
      </w:r>
      <w:r>
        <w:t xml:space="preserve"> 2007;370(9596):1453-57. doi: 10.1016/S0140-6736(07)61602-X</w:t>
      </w:r>
      <w:hyperlink r:id="rId31">
        <w:r>
          <w:rPr>
            <w:rStyle w:val="Hyperlink"/>
          </w:rPr>
          <w:t>https://doi.org/10.1016/S0140-6736(07)61602-X</w:t>
        </w:r>
      </w:hyperlink>
    </w:p>
    <w:p w:rsidR="003552DE" w:rsidRDefault="00DE001E">
      <w:pPr>
        <w:pStyle w:val="EndNoteBibliography"/>
        <w:spacing w:after="0"/>
        <w:ind w:left="720" w:hanging="720"/>
        <w:rPr>
          <w:u w:val="single"/>
        </w:rPr>
      </w:pPr>
      <w:r>
        <w:t>21. Royal College of O</w:t>
      </w:r>
      <w:r>
        <w:t>bstetricians and Gynaecologists (RCOG). Decision aid for early medical abortion without ultrasound. In: Royal College of Obstetricians and Gynaecologists (RCOG), ed. Coronavirus (COVID-19) and gynaecological services. London: Royal College of Obstetricians</w:t>
      </w:r>
      <w:r>
        <w:t xml:space="preserve"> and Gynaecologists (RCOG), , 2020. </w:t>
      </w:r>
      <w:hyperlink r:id="rId32">
        <w:r>
          <w:rPr>
            <w:rStyle w:val="Hyperlink"/>
          </w:rPr>
          <w:t>https://www.rcog.org.uk/globalassets/documents/guidelines/2020-06-04-</w:t>
        </w:r>
        <w:r>
          <w:rPr>
            <w:rStyle w:val="Hyperlink"/>
          </w:rPr>
          <w:t>decision-aid-for-early-medical-abortion-without-ultrasound.pdf</w:t>
        </w:r>
      </w:hyperlink>
    </w:p>
    <w:p w:rsidR="003552DE" w:rsidRDefault="00DE001E">
      <w:pPr>
        <w:pStyle w:val="EndNoteBibliography"/>
        <w:spacing w:after="0"/>
        <w:ind w:left="720" w:hanging="720"/>
        <w:rPr>
          <w:u w:val="single"/>
        </w:rPr>
      </w:pPr>
      <w:r>
        <w:t>22. Royal College of Obstetricians and Gynaecologists (RCOG), Faculty of Sexual &amp; Reproductive Healthcare (FSRH), British Society of Abortion Care Providers (BSACP). Clinical Guidelines for Ear</w:t>
      </w:r>
      <w:r>
        <w:t xml:space="preserve">ly Medical Abortion at Home - England. London, 2019. </w:t>
      </w:r>
      <w:hyperlink r:id="rId33">
        <w:r>
          <w:rPr>
            <w:rStyle w:val="Hyperlink"/>
          </w:rPr>
          <w:t>www.rcog.org.uk/en/guidelines-research-services/guidelines/early-medical-abortion-home-e</w:t>
        </w:r>
        <w:r>
          <w:rPr>
            <w:rStyle w:val="Hyperlink"/>
          </w:rPr>
          <w:t>ngland/</w:t>
        </w:r>
      </w:hyperlink>
    </w:p>
    <w:p w:rsidR="003552DE" w:rsidRDefault="00DE001E">
      <w:pPr>
        <w:pStyle w:val="EndNoteBibliography"/>
        <w:spacing w:after="0"/>
        <w:ind w:left="720" w:hanging="720"/>
        <w:rPr>
          <w:u w:val="single"/>
        </w:rPr>
      </w:pPr>
      <w:r>
        <w:t xml:space="preserve">23. Ministry of Housing Communities &amp; Local Government. The English Indices of Deprivation 2019. In: Ministry of Housing Communities &amp; Local Government, ed. London, 2019. </w:t>
      </w:r>
      <w:hyperlink r:id="rId34">
        <w:r>
          <w:rPr>
            <w:rStyle w:val="Hyperlink"/>
          </w:rPr>
          <w:t>https://www.gov.uk/government/collections/english-indices-of-deprivation</w:t>
        </w:r>
      </w:hyperlink>
    </w:p>
    <w:p w:rsidR="003552DE" w:rsidRDefault="00DE001E">
      <w:pPr>
        <w:pStyle w:val="EndNoteBibliography"/>
        <w:spacing w:after="0"/>
        <w:ind w:left="720" w:hanging="720"/>
      </w:pPr>
      <w:r>
        <w:t xml:space="preserve">24. Research Ethics Service. Defining Research Table. 2017. </w:t>
      </w:r>
      <w:hyperlink r:id="rId35">
        <w:r>
          <w:rPr>
            <w:rStyle w:val="Hyperlink"/>
          </w:rPr>
          <w:t>htt</w:t>
        </w:r>
        <w:r>
          <w:rPr>
            <w:rStyle w:val="Hyperlink"/>
          </w:rPr>
          <w:t>p://www.hra-decisiontools.org.uk/research/docs/DefiningResearchTable_Oct2017-1.pdf</w:t>
        </w:r>
      </w:hyperlink>
      <w:r>
        <w:t>.</w:t>
      </w:r>
    </w:p>
    <w:p w:rsidR="003552DE" w:rsidRDefault="00DE001E">
      <w:pPr>
        <w:pStyle w:val="EndNoteBibliography"/>
        <w:spacing w:after="0"/>
        <w:ind w:left="720" w:hanging="720"/>
      </w:pPr>
      <w:r>
        <w:t xml:space="preserve">25. NHS Health Research Authority. Do I need NHS REC review? London: NHS Health Research Authority, ; 2020 [Available from: </w:t>
      </w:r>
      <w:hyperlink r:id="rId36">
        <w:r>
          <w:rPr>
            <w:rStyle w:val="Hyperlink"/>
          </w:rPr>
          <w:t>http://www.hra-decisiontools.org.uk/ethics/</w:t>
        </w:r>
      </w:hyperlink>
      <w:r>
        <w:t xml:space="preserve"> accessed 08/25/2020 2020.</w:t>
      </w:r>
    </w:p>
    <w:p w:rsidR="003552DE" w:rsidRDefault="00DE001E">
      <w:pPr>
        <w:pStyle w:val="EndNoteBibliography"/>
        <w:spacing w:after="0"/>
        <w:ind w:left="720" w:hanging="720"/>
        <w:rPr>
          <w:u w:val="single"/>
        </w:rPr>
      </w:pPr>
      <w:r>
        <w:t xml:space="preserve">26. Department of Health &amp; Social Care (DHSC). Abortion statistics during COVID-19: data tables. In: Department of Health &amp; Social Care (DHSC), ed. London: UK Government, </w:t>
      </w:r>
      <w:r>
        <w:t xml:space="preserve">2020. </w:t>
      </w:r>
      <w:hyperlink r:id="rId37">
        <w:r>
          <w:rPr>
            <w:rStyle w:val="Hyperlink"/>
          </w:rPr>
          <w:t>https://assets.publishing.service.gov.uk/government/uploads/system/uploads/attachment_data/file/915816/CO</w:t>
        </w:r>
        <w:r>
          <w:rPr>
            <w:rStyle w:val="Hyperlink"/>
          </w:rPr>
          <w:t>VID_tables_FINAL.ods</w:t>
        </w:r>
      </w:hyperlink>
    </w:p>
    <w:p w:rsidR="003552DE" w:rsidRDefault="00DE001E">
      <w:pPr>
        <w:pStyle w:val="EndNoteBibliography"/>
        <w:spacing w:after="0"/>
        <w:ind w:left="720" w:hanging="720"/>
        <w:rPr>
          <w:u w:val="single"/>
        </w:rPr>
      </w:pPr>
      <w:r>
        <w:t xml:space="preserve">27. Upadhyay UD, Desai S, Zlidar V, et al. Incidence of emergency department visits and complications after abortion. </w:t>
      </w:r>
      <w:r>
        <w:rPr>
          <w:i/>
        </w:rPr>
        <w:t>Obstet Gynecol</w:t>
      </w:r>
      <w:r>
        <w:t xml:space="preserve"> 2015;125(1):175-83. doi: 10.1097/AOG.0000000000000603 [published Online First: 2015/01/07]. </w:t>
      </w:r>
      <w:hyperlink r:id="rId38">
        <w:r>
          <w:rPr>
            <w:rStyle w:val="Hyperlink"/>
          </w:rPr>
          <w:t>https://www.ncbi.nlm.nih.gov/pubmed/25560122</w:t>
        </w:r>
      </w:hyperlink>
    </w:p>
    <w:p w:rsidR="003552DE" w:rsidRDefault="00DE001E">
      <w:pPr>
        <w:pStyle w:val="EndNoteBibliography"/>
        <w:spacing w:after="0"/>
        <w:ind w:left="720" w:hanging="720"/>
      </w:pPr>
      <w:r>
        <w:t xml:space="preserve">28. Centers for Disease Control and Prevention (CDC). Ectopic pregnancy—United States, 1990–1992. </w:t>
      </w:r>
      <w:r>
        <w:rPr>
          <w:i/>
        </w:rPr>
        <w:t>MMWR Morb Mortal Wkly Rep</w:t>
      </w:r>
      <w:r>
        <w:t xml:space="preserve"> 1995;44(46–8):46–8.</w:t>
      </w:r>
    </w:p>
    <w:p w:rsidR="003552DE" w:rsidRDefault="00DE001E">
      <w:pPr>
        <w:pStyle w:val="EndNoteBibliography"/>
        <w:spacing w:after="0"/>
        <w:ind w:left="720" w:hanging="720"/>
        <w:rPr>
          <w:u w:val="single"/>
        </w:rPr>
      </w:pPr>
      <w:r>
        <w:t xml:space="preserve">29. National Institute for Health </w:t>
      </w:r>
      <w:r>
        <w:t xml:space="preserve">and Care Excellence (NICE). Ectopic pregnancy and miscarriage: diagnosis and initial management. In: (NICE) NIfHaCE, ed. Clinical guideline [CG154]. London, 2012. </w:t>
      </w:r>
      <w:hyperlink r:id="rId39">
        <w:r>
          <w:rPr>
            <w:rStyle w:val="Hyperlink"/>
          </w:rPr>
          <w:t>www.nice.org.uk/guidance/cg154</w:t>
        </w:r>
      </w:hyperlink>
    </w:p>
    <w:p w:rsidR="003552DE" w:rsidRDefault="00DE001E">
      <w:pPr>
        <w:pStyle w:val="EndNoteBibliography"/>
        <w:spacing w:after="0"/>
        <w:ind w:left="720" w:hanging="720"/>
      </w:pPr>
      <w:r>
        <w:t xml:space="preserve">30. Shannon </w:t>
      </w:r>
      <w:r>
        <w:t xml:space="preserve">C, Brothers LP, Philip NM, et al. Ectopic pregnancy and medical abortion. </w:t>
      </w:r>
      <w:r>
        <w:rPr>
          <w:i/>
        </w:rPr>
        <w:t>Obstet Gynecol</w:t>
      </w:r>
      <w:r>
        <w:t xml:space="preserve"> 2004;104:161–7.</w:t>
      </w:r>
    </w:p>
    <w:p w:rsidR="003552DE" w:rsidRDefault="00DE001E">
      <w:pPr>
        <w:pStyle w:val="EndNoteBibliography"/>
        <w:ind w:left="720" w:hanging="720"/>
        <w:rPr>
          <w:u w:val="single"/>
        </w:rPr>
      </w:pPr>
      <w:r>
        <w:t>31. Bracken H, Clark W, Lichtenberg ES, et al. Alternatives to routine ultrasound for eligibility assessment prior to early termination of pregnancy wi</w:t>
      </w:r>
      <w:r>
        <w:t xml:space="preserve">th mifepristone-misoprostol. </w:t>
      </w:r>
      <w:r>
        <w:rPr>
          <w:i/>
        </w:rPr>
        <w:t>BJOG</w:t>
      </w:r>
      <w:r>
        <w:t xml:space="preserve"> 2011;118(1):17-23. doi: 10.1111/j.1471-0528.2010.02753.x [doi]</w:t>
      </w:r>
      <w:hyperlink r:id="rId40">
        <w:r>
          <w:rPr>
            <w:rStyle w:val="Hyperlink"/>
          </w:rPr>
          <w:t>http://www.ncbi.nlm.nih.gov/pubmed/21091926</w:t>
        </w:r>
      </w:hyperlink>
    </w:p>
    <w:p w:rsidR="003552DE" w:rsidRDefault="00DE001E">
      <w:pPr>
        <w:pStyle w:val="EndNoteBibliography"/>
        <w:spacing w:after="0"/>
        <w:ind w:left="720" w:hanging="720"/>
        <w:rPr>
          <w:u w:val="single"/>
        </w:rPr>
      </w:pPr>
      <w:hyperlink r:id="rId41">
        <w:r>
          <w:rPr>
            <w:rStyle w:val="Hyperlink"/>
          </w:rPr>
          <w:t>https://obgyn.onlinelibrary.wiley.com/doi/full/10.1111/j.1471-0528.2010.02753.x</w:t>
        </w:r>
      </w:hyperlink>
    </w:p>
    <w:p w:rsidR="003552DE" w:rsidRDefault="00DE001E">
      <w:pPr>
        <w:pStyle w:val="EndNoteBibliography"/>
        <w:spacing w:after="0"/>
        <w:ind w:left="720" w:hanging="720"/>
        <w:rPr>
          <w:u w:val="single"/>
        </w:rPr>
      </w:pPr>
      <w:r>
        <w:t>32. Raymond EG, Grossman D, Mark A, et al. Commentary: No-test medication abortion: A sample protocol for increasing access during</w:t>
      </w:r>
      <w:r>
        <w:t xml:space="preserve"> a pandemic and beyond. </w:t>
      </w:r>
      <w:r>
        <w:rPr>
          <w:i/>
        </w:rPr>
        <w:t>Contraception</w:t>
      </w:r>
      <w:r>
        <w:t xml:space="preserve"> 2020 doi: S0010-7824(20)30108-6 [pii];10.1016/j.contraception.2020.04.005 [doi]</w:t>
      </w:r>
      <w:hyperlink r:id="rId42">
        <w:r>
          <w:rPr>
            <w:rStyle w:val="Hyperlink"/>
          </w:rPr>
          <w:t>http://www.ncbi.nlm.nih.gov/pubmed/32305289</w:t>
        </w:r>
      </w:hyperlink>
    </w:p>
    <w:p w:rsidR="003552DE" w:rsidRDefault="00DE001E">
      <w:pPr>
        <w:pStyle w:val="EndNoteBibliography"/>
        <w:ind w:left="720" w:hanging="720"/>
        <w:rPr>
          <w:u w:val="single"/>
        </w:rPr>
      </w:pPr>
      <w:r>
        <w:t xml:space="preserve">33. Harris LH, Grossman D. Complications of Unsafe and Self-Managed Abortion. </w:t>
      </w:r>
      <w:r>
        <w:rPr>
          <w:i/>
        </w:rPr>
        <w:t>N Engl J Med</w:t>
      </w:r>
      <w:r>
        <w:t xml:space="preserve"> 2020;382(11):1029-40. doi: 10.1056/NEJMra1908412 [doi]</w:t>
      </w:r>
      <w:hyperlink r:id="rId43">
        <w:r>
          <w:rPr>
            <w:rStyle w:val="Hyperlink"/>
          </w:rPr>
          <w:t>http</w:t>
        </w:r>
        <w:r>
          <w:rPr>
            <w:rStyle w:val="Hyperlink"/>
          </w:rPr>
          <w:t>://www.ncbi.nlm.nih.gov/pubmed/32160664</w:t>
        </w:r>
      </w:hyperlink>
    </w:p>
    <w:p w:rsidR="003552DE" w:rsidRDefault="00DE001E">
      <w:pPr>
        <w:pStyle w:val="EndNoteBibliography"/>
        <w:spacing w:after="0"/>
        <w:ind w:left="720" w:hanging="720"/>
        <w:rPr>
          <w:u w:val="single"/>
        </w:rPr>
      </w:pPr>
      <w:hyperlink r:id="rId44">
        <w:r>
          <w:rPr>
            <w:rStyle w:val="Hyperlink"/>
          </w:rPr>
          <w:t>https://www.nejm.org/doi/full/10.1056/NEJMra1908412?url_ver=Z39.88-20</w:t>
        </w:r>
        <w:r>
          <w:rPr>
            <w:rStyle w:val="Hyperlink"/>
          </w:rPr>
          <w:t>03&amp;rfr_id=ori%3Arid%3Acrossref.org&amp;rfr_dat=cr_pub%3Dpubmed</w:t>
        </w:r>
      </w:hyperlink>
    </w:p>
    <w:p w:rsidR="003552DE" w:rsidRDefault="00DE001E">
      <w:pPr>
        <w:pStyle w:val="EndNoteBibliography"/>
        <w:ind w:left="720" w:hanging="720"/>
      </w:pPr>
      <w:r>
        <w:t>34. Lohr P, Lord J, Rowlands S. How would decriminalisation affect women’s health? In: Sheldon S WK, ed. Decriminalising abortion in the UK. Bristol, UK: Policy Press, University of Bristol 2020:37</w:t>
      </w:r>
      <w:r>
        <w:t>-56.</w:t>
      </w:r>
    </w:p>
    <w:p w:rsidR="003552DE" w:rsidRDefault="00DE001E">
      <w:pPr>
        <w:rPr>
          <w:shd w:val="clear" w:color="auto" w:fill="FFFFFF"/>
        </w:rPr>
      </w:pPr>
      <w:r>
        <w:fldChar w:fldCharType="end"/>
      </w:r>
    </w:p>
    <w:sectPr w:rsidR="003552DE">
      <w:footerReference w:type="default" r:id="rId45"/>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01E" w:rsidRDefault="00DE001E">
      <w:pPr>
        <w:spacing w:after="0" w:line="240" w:lineRule="auto"/>
      </w:pPr>
      <w:r>
        <w:separator/>
      </w:r>
    </w:p>
  </w:endnote>
  <w:endnote w:type="continuationSeparator" w:id="0">
    <w:p w:rsidR="00DE001E" w:rsidRDefault="00DE0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panose1 w:val="00000000000000000000"/>
    <w:charset w:val="00"/>
    <w:family w:val="roman"/>
    <w:notTrueType/>
    <w:pitch w:val="default"/>
  </w:font>
  <w:font w:name="Lucida Sans">
    <w:charset w:val="00"/>
    <w:family w:val="swiss"/>
    <w:pitch w:val="variable"/>
    <w:sig w:usb0="00000003" w:usb1="00000000" w:usb2="00000000" w:usb3="00000000" w:csb0="00000001" w:csb1="00000000"/>
  </w:font>
  <w:font w:name="Helvetica">
    <w:panose1 w:val="020B0604020202020204"/>
    <w:charset w:val="01"/>
    <w:family w:val="roman"/>
    <w:pitch w:val="variable"/>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DE" w:rsidRDefault="00DE001E">
    <w:pPr>
      <w:pStyle w:val="Footer"/>
      <w:rPr>
        <w:sz w:val="16"/>
        <w:szCs w:val="16"/>
      </w:rPr>
    </w:pPr>
    <w:r>
      <w:rPr>
        <w:sz w:val="16"/>
        <w:szCs w:val="16"/>
      </w:rPr>
      <w:t>Safety, effectiveness and acceptability of telemedicine for early medical abortion</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01E" w:rsidRDefault="00DE001E">
      <w:pPr>
        <w:spacing w:after="0" w:line="240" w:lineRule="auto"/>
      </w:pPr>
      <w:r>
        <w:separator/>
      </w:r>
    </w:p>
  </w:footnote>
  <w:footnote w:type="continuationSeparator" w:id="0">
    <w:p w:rsidR="00DE001E" w:rsidRDefault="00DE00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DE"/>
    <w:rsid w:val="002514E5"/>
    <w:rsid w:val="003552DE"/>
    <w:rsid w:val="00DE001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836A"/>
  <w15:docId w15:val="{ADE63BE9-DC23-4FED-ABD1-BCB7DDC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doi.org/10.1016/S2214-109X(20)30315-6" TargetMode="External"/><Relationship Id="rId18" Type="http://schemas.openxmlformats.org/officeDocument/2006/relationships/hyperlink" Target="https://www.rcog.org.uk/globalassets/documents/guidelines/best-practice-papers/best-practice-paper-2.pdf" TargetMode="External"/><Relationship Id="rId26" Type="http://schemas.openxmlformats.org/officeDocument/2006/relationships/hyperlink" Target="https://obgyn.onlinelibrary.wiley.com/doi/abs/10.1111/1471-0528.15684" TargetMode="External"/><Relationship Id="rId39" Type="http://schemas.openxmlformats.org/officeDocument/2006/relationships/hyperlink" Target="www.nice.org.uk/guidance/cg154" TargetMode="External"/><Relationship Id="rId21" Type="http://schemas.openxmlformats.org/officeDocument/2006/relationships/hyperlink" Target="https://www.sehd.scot.nhs.uk/cmo/CMO(2020)09.pdf" TargetMode="External"/><Relationship Id="rId34" Type="http://schemas.openxmlformats.org/officeDocument/2006/relationships/hyperlink" Target="https://www.gov.uk/government/collections/english-indices-of-deprivation" TargetMode="External"/><Relationship Id="rId42" Type="http://schemas.openxmlformats.org/officeDocument/2006/relationships/hyperlink" Target="http://www.ncbi.nlm.nih.gov/pubmed/32305289" TargetMode="External"/><Relationship Id="rId47" Type="http://schemas.openxmlformats.org/officeDocument/2006/relationships/theme" Target="theme/theme1.xml"/><Relationship Id="rId7" Type="http://schemas.openxmlformats.org/officeDocument/2006/relationships/hyperlink" Target="mailto:patricia.lohr@bpas.org" TargetMode="External"/><Relationship Id="rId2" Type="http://schemas.openxmlformats.org/officeDocument/2006/relationships/settings" Target="settings.xml"/><Relationship Id="rId16" Type="http://schemas.openxmlformats.org/officeDocument/2006/relationships/hyperlink" Target="http://www.ncbi.nlm.nih.gov/pubmed/29115218" TargetMode="External"/><Relationship Id="rId29" Type="http://schemas.openxmlformats.org/officeDocument/2006/relationships/hyperlink" Target="http://www.ncbi.nlm.nih.gov/pubmed/27208607" TargetMode="External"/><Relationship Id="rId1" Type="http://schemas.openxmlformats.org/officeDocument/2006/relationships/styles" Target="styles.xml"/><Relationship Id="rId6" Type="http://schemas.openxmlformats.org/officeDocument/2006/relationships/hyperlink" Target="mailto:araa2@utexas.edu" TargetMode="External"/><Relationship Id="rId11" Type="http://schemas.openxmlformats.org/officeDocument/2006/relationships/hyperlink" Target="www.nice.org.uk/guidance/ng140" TargetMode="External"/><Relationship Id="rId24" Type="http://schemas.openxmlformats.org/officeDocument/2006/relationships/hyperlink" Target="https://www.contraceptionjournal.org/article/S0010-7824(19)30176-3/fulltext" TargetMode="External"/><Relationship Id="rId32" Type="http://schemas.openxmlformats.org/officeDocument/2006/relationships/hyperlink" Target="https://www.rcog.org.uk/globalassets/documents/guidelines/2020-06-04-decision-aid-for-early-medical-abortion-without-ultrasound.pdf" TargetMode="External"/><Relationship Id="rId37" Type="http://schemas.openxmlformats.org/officeDocument/2006/relationships/hyperlink" Target="https://assets.publishing.service.gov.uk/government/uploads/system/uploads/attachment_data/file/915816/COVID_tables_FINAL.ods" TargetMode="External"/><Relationship Id="rId40" Type="http://schemas.openxmlformats.org/officeDocument/2006/relationships/hyperlink" Target="http://www.ncbi.nlm.nih.gov/pubmed/2109192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ncbi.nlm.nih.gov/pmc/articles/PMC5498988/pdf/nihms863976.pdf" TargetMode="External"/><Relationship Id="rId23" Type="http://schemas.openxmlformats.org/officeDocument/2006/relationships/hyperlink" Target="www.who.int/reproductivehealth/publications/medical-management-abortion/en/" TargetMode="External"/><Relationship Id="rId28" Type="http://schemas.openxmlformats.org/officeDocument/2006/relationships/hyperlink" Target="https://www.nejm.org/doi/full/10.1056/NEJMp2008006" TargetMode="External"/><Relationship Id="rId36" Type="http://schemas.openxmlformats.org/officeDocument/2006/relationships/hyperlink" Target="http://www.hra-decisiontools.org.uk/ethics/" TargetMode="External"/><Relationship Id="rId10" Type="http://schemas.openxmlformats.org/officeDocument/2006/relationships/hyperlink" Target="https://doi.org/10.1093/humupd/dmaa026" TargetMode="External"/><Relationship Id="rId19" Type="http://schemas.openxmlformats.org/officeDocument/2006/relationships/hyperlink" Target="https://www.rcog.org.uk/globalassets/documents/guidelines/2020-07-31-coronavirus-covid-19-infection-and-abortion-care.pdf" TargetMode="External"/><Relationship Id="rId31" Type="http://schemas.openxmlformats.org/officeDocument/2006/relationships/hyperlink" Target="https://doi.org/10.1016/S0140-6736(07)61602-X" TargetMode="External"/><Relationship Id="rId44" Type="http://schemas.openxmlformats.org/officeDocument/2006/relationships/hyperlink" Target="https://www.nejm.org/doi/full/10.1056/NEJMra1908412?url_ver=Z39.88-2003&amp;rfr_id=ori%3Arid%3Acrossref.org&amp;rfr_dat=cr_pub%3Dpubmed" TargetMode="External"/><Relationship Id="rId4" Type="http://schemas.openxmlformats.org/officeDocument/2006/relationships/footnotes" Target="footnotes.xml"/><Relationship Id="rId9" Type="http://schemas.openxmlformats.org/officeDocument/2006/relationships/hyperlink" Target="https://doi.org/10.1016/S0140-6736(20)30424-4" TargetMode="External"/><Relationship Id="rId14" Type="http://schemas.openxmlformats.org/officeDocument/2006/relationships/hyperlink" Target="http://www.ncbi.nlm.nih.gov/pubmed/27179755" TargetMode="External"/><Relationship Id="rId22" Type="http://schemas.openxmlformats.org/officeDocument/2006/relationships/hyperlink" Target="https://gov.wales/sites/default/files/publications/2020-04/approval-of-a-class-of-place-for-treatment-for-the-termination-of-pregnancy-wales-2020.pdf" TargetMode="External"/><Relationship Id="rId27" Type="http://schemas.openxmlformats.org/officeDocument/2006/relationships/hyperlink" Target="https://assets.publishing.service.gov.uk/government/uploads/system/uploads/attachment_data/file/891405/abortion-statistics-commentary-2019.pdf" TargetMode="External"/><Relationship Id="rId30" Type="http://schemas.openxmlformats.org/officeDocument/2006/relationships/hyperlink" Target="https://www.jogc.com/article/S1701-2163(16)00043-8/pdf" TargetMode="External"/><Relationship Id="rId35" Type="http://schemas.openxmlformats.org/officeDocument/2006/relationships/hyperlink" Target="http://www.hra-decisiontools.org.uk/research/docs/DefiningResearchTable_Oct2017-1.pdf" TargetMode="External"/><Relationship Id="rId43" Type="http://schemas.openxmlformats.org/officeDocument/2006/relationships/hyperlink" Target="http://www.ncbi.nlm.nih.gov/pubmed/32160664" TargetMode="External"/><Relationship Id="rId8" Type="http://schemas.openxmlformats.org/officeDocument/2006/relationships/hyperlink" Target="mailto:J.lord@exeter.ac.uk" TargetMode="External"/><Relationship Id="rId3" Type="http://schemas.openxmlformats.org/officeDocument/2006/relationships/webSettings" Target="webSettings.xml"/><Relationship Id="rId12" Type="http://schemas.openxmlformats.org/officeDocument/2006/relationships/hyperlink" Target="www.nice.org.uk/guidance/ng140" TargetMode="External"/><Relationship Id="rId17" Type="http://schemas.openxmlformats.org/officeDocument/2006/relationships/hyperlink" Target="https://spiral.imperial.ac.uk/handle/10044/1/60995" TargetMode="External"/><Relationship Id="rId25" Type="http://schemas.openxmlformats.org/officeDocument/2006/relationships/hyperlink" Target="http://www.ncbi.nlm.nih.gov/pubmed/30869829" TargetMode="External"/><Relationship Id="rId33" Type="http://schemas.openxmlformats.org/officeDocument/2006/relationships/hyperlink" Target="www.rcog.org.uk/en/guidelines-research-services/guidelines/early-medical-abortion-home-england/" TargetMode="External"/><Relationship Id="rId38" Type="http://schemas.openxmlformats.org/officeDocument/2006/relationships/hyperlink" Target="https://www.ncbi.nlm.nih.gov/pubmed/25560122" TargetMode="External"/><Relationship Id="rId46" Type="http://schemas.openxmlformats.org/officeDocument/2006/relationships/fontTable" Target="fontTable.xml"/><Relationship Id="rId20" Type="http://schemas.openxmlformats.org/officeDocument/2006/relationships/hyperlink" Target="https://assets.publishing.service.gov.uk/government/uploads/system/uploads/attachment_data/file/876740/30032020_The_Abortion_Act_1967_-_Approval_of_a_Class_of_Places.pdf" TargetMode="External"/><Relationship Id="rId41" Type="http://schemas.openxmlformats.org/officeDocument/2006/relationships/hyperlink" Target="https://obgyn.onlinelibrary.wiley.com/doi/full/10.1111/j.1471-0528.2010.0275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25</Pages>
  <Words>12081</Words>
  <Characters>68867</Characters>
  <Application>Microsoft Office Word</Application>
  <DocSecurity>0</DocSecurity>
  <Lines>573</Lines>
  <Paragraphs>161</Paragraphs>
  <ScaleCrop>false</ScaleCrop>
  <Company>Mathematica</Company>
  <LinksUpToDate>false</LinksUpToDate>
  <CharactersWithSpaces>80787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dc:description/>
  <cp:lastModifiedBy>Jennifer Starling</cp:lastModifiedBy>
  <cp:revision>77</cp:revision>
  <dcterms:created xsi:type="dcterms:W3CDTF">2020-11-20T21:18:00Z</dcterms:created>
  <dcterms:modified xsi:type="dcterms:W3CDTF">2020-12-17T19:48:00Z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