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sz w:val="24"/>
          <w:szCs w:val="24"/>
          <w:lang w:val="fr-FR"/>
        </w:rPr>
        <w:t>Traduction :</w:t>
      </w:r>
      <w:r w:rsidRPr="006E1198">
        <w:rPr>
          <w:rFonts w:ascii="Arial" w:hAnsi="Arial" w:cs="Arial"/>
          <w:sz w:val="24"/>
          <w:szCs w:val="24"/>
          <w:lang w:val="fr-FR"/>
        </w:rPr>
        <w:t xml:space="preserve"> Hugo Drouin-Vaillancourt, SMAC.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sz w:val="24"/>
          <w:szCs w:val="24"/>
          <w:lang w:val="fr-FR"/>
        </w:rPr>
        <w:t>Source :</w:t>
      </w:r>
      <w:r w:rsidRPr="006E1198">
        <w:rPr>
          <w:rFonts w:ascii="Arial" w:hAnsi="Arial" w:cs="Arial"/>
          <w:sz w:val="24"/>
          <w:szCs w:val="24"/>
          <w:lang w:val="fr-FR"/>
        </w:rPr>
        <w:t xml:space="preserve"> http://www.ams.org/mathmoments/mm34-unlocking-the-cell.pdf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fr-FR"/>
        </w:rPr>
      </w:pP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  <w:lang w:val="fr-CA"/>
        </w:rPr>
      </w:pP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6E1198">
        <w:rPr>
          <w:rFonts w:ascii="Arial" w:hAnsi="Arial" w:cs="Arial"/>
          <w:b/>
          <w:bCs/>
          <w:color w:val="000000"/>
          <w:sz w:val="24"/>
          <w:szCs w:val="24"/>
          <w:lang w:val="fr-CA"/>
        </w:rPr>
        <w:t>Comprendre</w:t>
      </w:r>
      <w:r w:rsidRPr="00545094">
        <w:rPr>
          <w:rFonts w:ascii="Arial" w:hAnsi="Arial" w:cs="Arial"/>
          <w:b/>
          <w:bCs/>
          <w:color w:val="000000"/>
          <w:sz w:val="24"/>
          <w:szCs w:val="24"/>
        </w:rPr>
        <w:t xml:space="preserve"> les</w:t>
      </w:r>
      <w:r w:rsidRPr="006E1198">
        <w:rPr>
          <w:rFonts w:ascii="Arial" w:hAnsi="Arial" w:cs="Arial"/>
          <w:b/>
          <w:bCs/>
          <w:color w:val="000000"/>
          <w:sz w:val="24"/>
          <w:szCs w:val="24"/>
          <w:lang w:val="fr-CA"/>
        </w:rPr>
        <w:t xml:space="preserve"> mystères</w:t>
      </w:r>
      <w:r w:rsidRPr="006E1198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 des cellules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Les processus cellulaires sont fascinants, mais leurs mécanismes restent très mystérieux. Les biologistes moléculaires et les mathématiciens utilisent des modèles pour commencer à comprendre des </w:t>
      </w:r>
      <w:r w:rsidR="006E1198">
        <w:rPr>
          <w:rFonts w:ascii="Arial" w:hAnsi="Arial" w:cs="Arial"/>
          <w:bCs/>
          <w:color w:val="000000"/>
          <w:sz w:val="24"/>
          <w:szCs w:val="24"/>
          <w:lang w:val="fr-FR"/>
        </w:rPr>
        <w:t>processus</w:t>
      </w: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comme la division cellulaire, le mouvement et la communication (à la fois intra</w:t>
      </w:r>
      <w:r w:rsidR="006E1198">
        <w:rPr>
          <w:rFonts w:ascii="Arial" w:hAnsi="Arial" w:cs="Arial"/>
          <w:bCs/>
          <w:color w:val="000000"/>
          <w:sz w:val="24"/>
          <w:szCs w:val="24"/>
          <w:lang w:val="fr-FR"/>
        </w:rPr>
        <w:t>-</w:t>
      </w: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et intercellulaire.) L’analyse des cellules requiert l’utilisation de plusieurs branches des mathématiques puisque l’activité cellulaire implique une combinaison de modèles continus basés sur les équations différentielles et de modèles discrets </w:t>
      </w:r>
      <w:r w:rsidR="006E119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>nécessitant</w:t>
      </w: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des outils </w:t>
      </w:r>
      <w:r w:rsidR="006E119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>tels</w:t>
      </w: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que la théorie des graphs.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  <w:lang w:val="fr-FR"/>
        </w:rPr>
      </w:pP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>Cela peut paraître surprenant, mais les fonctions cellulaires sont décrites avec des diagrammes de branch</w:t>
      </w:r>
      <w:r w:rsidR="002B0C0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ement complexes comprenant des voies empruntées par des </w:t>
      </w:r>
      <w:r w:rsidR="006E119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>signaux, des</w:t>
      </w:r>
      <w:r w:rsidR="002B0C0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fonctions logiques,</w:t>
      </w:r>
      <w:r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des interrupteurs</w:t>
      </w:r>
      <w:r w:rsidR="002B0C0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et des boucles de rétroaction. Les chercheurs transforment les diagrammes en équations qui sont ensuite résolues numériquement.</w:t>
      </w:r>
      <w:r w:rsidR="005E61E3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La résolution de ces équations est seulement une partie d’un processus dans lequel les solutions sont anal</w:t>
      </w:r>
      <w:r w:rsidR="006E1198">
        <w:rPr>
          <w:rFonts w:ascii="Arial" w:hAnsi="Arial" w:cs="Arial"/>
          <w:bCs/>
          <w:color w:val="000000"/>
          <w:sz w:val="24"/>
          <w:szCs w:val="24"/>
          <w:lang w:val="fr-FR"/>
        </w:rPr>
        <w:t>ysées, les modèles sont raffiné</w:t>
      </w:r>
      <w:r w:rsidR="005E61E3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>s et les équations sont formulées et résolues à nouveau.</w:t>
      </w:r>
      <w:r w:rsidR="005E61E3" w:rsidRPr="006E1198">
        <w:rPr>
          <w:rFonts w:ascii="Arial" w:hAnsi="Arial" w:cs="Arial"/>
          <w:bCs/>
          <w:color w:val="000000"/>
          <w:sz w:val="24"/>
          <w:szCs w:val="24"/>
          <w:lang w:val="fr-CA"/>
        </w:rPr>
        <w:t xml:space="preserve"> Ce</w:t>
      </w:r>
      <w:r w:rsidR="005E61E3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cycle peut être </w:t>
      </w:r>
      <w:r w:rsidR="006E1198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>répété</w:t>
      </w:r>
      <w:r w:rsidR="005E61E3" w:rsidRPr="006E1198">
        <w:rPr>
          <w:rFonts w:ascii="Arial" w:hAnsi="Arial" w:cs="Arial"/>
          <w:bCs/>
          <w:color w:val="000000"/>
          <w:sz w:val="24"/>
          <w:szCs w:val="24"/>
          <w:lang w:val="fr-FR"/>
        </w:rPr>
        <w:t xml:space="preserve"> plusieurs fois. Le but ce processus est d’arriver à une représentation juste des comportements cellulaires, ce qui permettra éventuellement aux médicaments et aux traitements d’être conçus d’une façon aussi précise que les circuits électroniques d’aujourd’hui.</w:t>
      </w:r>
    </w:p>
    <w:p w:rsidR="004B274F" w:rsidRPr="006E1198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6E1198" w:rsidRPr="006E1198" w:rsidRDefault="006E1198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F15FA8" w:rsidRDefault="00F15FA8" w:rsidP="00F15FA8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-Bold" w:hAnsi="GillSans-Bold" w:cs="GillSans-Bold"/>
          <w:b/>
          <w:bCs/>
          <w:color w:val="000000"/>
          <w:sz w:val="24"/>
          <w:szCs w:val="24"/>
        </w:rPr>
        <w:t xml:space="preserve">Pour plus d’information: </w:t>
      </w:r>
      <w:r>
        <w:rPr>
          <w:rFonts w:ascii="GillSans-Italic" w:hAnsi="GillSans-Italic" w:cs="GillSans-Italic"/>
          <w:i/>
          <w:iCs/>
          <w:color w:val="000000"/>
          <w:sz w:val="24"/>
          <w:szCs w:val="24"/>
        </w:rPr>
        <w:t xml:space="preserve">Computational Cell Biology, </w:t>
      </w:r>
      <w:r>
        <w:rPr>
          <w:rFonts w:ascii="GillSans" w:hAnsi="GillSans" w:cs="GillSans"/>
          <w:color w:val="000000"/>
          <w:sz w:val="24"/>
          <w:szCs w:val="24"/>
        </w:rPr>
        <w:t>Christopher P. Fall,</w:t>
      </w:r>
    </w:p>
    <w:p w:rsidR="00F15FA8" w:rsidRDefault="00F15FA8" w:rsidP="00F15FA8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Eric S. Marland, John M.Wagner, and John J.Tyson, Editors.</w:t>
      </w:r>
    </w:p>
    <w:p w:rsidR="00F15FA8" w:rsidRDefault="00F15FA8" w:rsidP="00F15FA8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</w:p>
    <w:p w:rsidR="00F15FA8" w:rsidRDefault="00F15FA8" w:rsidP="00F15FA8">
      <w:pPr>
        <w:widowControl w:val="0"/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color w:val="E0AD6D"/>
          <w:sz w:val="40"/>
          <w:szCs w:val="40"/>
        </w:rPr>
      </w:pPr>
      <w:r w:rsidRPr="006E1198">
        <w:rPr>
          <w:rFonts w:ascii="GillSans" w:hAnsi="GillSans" w:cs="GillSans"/>
          <w:color w:val="000000"/>
          <w:sz w:val="16"/>
          <w:szCs w:val="16"/>
          <w:lang w:val="fr-FR"/>
        </w:rPr>
        <w:t xml:space="preserve">Image: Actine filamenteuse et microtubules dans un fibroblaste de souris. </w:t>
      </w:r>
      <w:r>
        <w:rPr>
          <w:rFonts w:ascii="GillSans" w:hAnsi="GillSans" w:cs="GillSans"/>
          <w:color w:val="000000"/>
          <w:sz w:val="16"/>
          <w:szCs w:val="16"/>
        </w:rPr>
        <w:t>(Dr.Torsten Wittmann), courtoisie de Nikon Small World.</w:t>
      </w:r>
    </w:p>
    <w:p w:rsidR="00F15FA8" w:rsidRDefault="00F15FA8" w:rsidP="00F15FA8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</w:p>
    <w:p w:rsidR="004B274F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B274F" w:rsidRPr="009F6860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F6860">
        <w:rPr>
          <w:rFonts w:ascii="Arial" w:hAnsi="Arial" w:cs="Arial"/>
          <w:b/>
          <w:color w:val="000000"/>
          <w:sz w:val="24"/>
          <w:szCs w:val="24"/>
        </w:rPr>
        <w:t>Unlocking the Cell</w:t>
      </w:r>
    </w:p>
    <w:p w:rsidR="004B274F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The processes that cells perform are as wondrous as their individual mechanisms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are mysterious. Molecular biologists and mathematicians are using models to begin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to understand operations such as cellular division, movement, and communication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(both within the cell and between cells).The analysis of cells requires many diverse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branches of mathematics since descriptions of cellular activity involve a combination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of continuous models based on differential equations and discrete models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using subjects such as graph theory.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It may be surprising, but cell functions are depicted with complex wiring diagrams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of circuits with signaling pathways, gates, switches, and feedback loops. Researchers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translate the diagrams into equations, which are often solved numerically. Solving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the equations is only part of a process in which solutions are analyzed, models are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lastRenderedPageBreak/>
        <w:t>refined, and equations are reformulated and re-solved.This may be repeated many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times.The aim of this process is an accurate representation of cell behavior, which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may allow drugs and treatments to be designed in the same precise way that electronic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circuits are today.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color w:val="000000"/>
          <w:sz w:val="24"/>
          <w:szCs w:val="24"/>
        </w:rPr>
      </w:pP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-Bold" w:hAnsi="GillSans-Bold" w:cs="GillSans-Bold"/>
          <w:b/>
          <w:bCs/>
          <w:color w:val="000000"/>
          <w:sz w:val="24"/>
          <w:szCs w:val="24"/>
        </w:rPr>
        <w:t xml:space="preserve">For More Information: </w:t>
      </w:r>
      <w:r>
        <w:rPr>
          <w:rFonts w:ascii="GillSans-Italic" w:hAnsi="GillSans-Italic" w:cs="GillSans-Italic"/>
          <w:i/>
          <w:iCs/>
          <w:color w:val="000000"/>
          <w:sz w:val="24"/>
          <w:szCs w:val="24"/>
        </w:rPr>
        <w:t xml:space="preserve">Computational Cell Biology, </w:t>
      </w:r>
      <w:r>
        <w:rPr>
          <w:rFonts w:ascii="GillSans" w:hAnsi="GillSans" w:cs="GillSans"/>
          <w:color w:val="000000"/>
          <w:sz w:val="24"/>
          <w:szCs w:val="24"/>
        </w:rPr>
        <w:t>Christopher P. Fall,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24"/>
          <w:szCs w:val="24"/>
        </w:rPr>
      </w:pPr>
      <w:r>
        <w:rPr>
          <w:rFonts w:ascii="GillSans" w:hAnsi="GillSans" w:cs="GillSans"/>
          <w:color w:val="000000"/>
          <w:sz w:val="24"/>
          <w:szCs w:val="24"/>
        </w:rPr>
        <w:t>Eric S. Marland, John M.Wagner, and John J.Tyson, Editors.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FFFFFF"/>
          <w:sz w:val="18"/>
          <w:szCs w:val="18"/>
        </w:rPr>
      </w:pPr>
      <w:r>
        <w:rPr>
          <w:rFonts w:ascii="GillSans" w:hAnsi="GillSans" w:cs="GillSans"/>
          <w:color w:val="FFFFFF"/>
          <w:sz w:val="18"/>
          <w:szCs w:val="18"/>
        </w:rPr>
        <w:t>MM/34</w:t>
      </w:r>
    </w:p>
    <w:p w:rsidR="004B274F" w:rsidRDefault="004B274F" w:rsidP="004B274F">
      <w:pPr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000000"/>
          <w:sz w:val="16"/>
          <w:szCs w:val="16"/>
        </w:rPr>
      </w:pPr>
      <w:r>
        <w:rPr>
          <w:rFonts w:ascii="GillSans" w:hAnsi="GillSans" w:cs="GillSans"/>
          <w:color w:val="000000"/>
          <w:sz w:val="16"/>
          <w:szCs w:val="16"/>
        </w:rPr>
        <w:t>Image: Filamentous actin and microtubules in mouse fibroblasts</w:t>
      </w:r>
    </w:p>
    <w:p w:rsidR="004B274F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GillSans-Bold" w:hAnsi="GillSans-Bold" w:cs="GillSans-Bold"/>
          <w:b/>
          <w:bCs/>
          <w:color w:val="E0AD6D"/>
          <w:sz w:val="40"/>
          <w:szCs w:val="40"/>
        </w:rPr>
      </w:pPr>
      <w:r>
        <w:rPr>
          <w:rFonts w:ascii="GillSans" w:hAnsi="GillSans" w:cs="GillSans"/>
          <w:color w:val="000000"/>
          <w:sz w:val="16"/>
          <w:szCs w:val="16"/>
        </w:rPr>
        <w:t>(Dr.Torsten Wittmann), courtesy of Nikon Small World.</w:t>
      </w:r>
    </w:p>
    <w:p w:rsidR="004B274F" w:rsidRDefault="004B274F" w:rsidP="004B27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GillSans" w:hAnsi="GillSans" w:cs="GillSans"/>
          <w:color w:val="FFFFFF"/>
          <w:sz w:val="18"/>
          <w:szCs w:val="18"/>
        </w:rPr>
        <w:t>MM/37.</w:t>
      </w:r>
    </w:p>
    <w:p w:rsidR="00F35A1E" w:rsidRDefault="00F35A1E"/>
    <w:sectPr w:rsidR="00F35A1E" w:rsidSect="003A2D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Sans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San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274F"/>
    <w:rsid w:val="002B0C08"/>
    <w:rsid w:val="003A2D9E"/>
    <w:rsid w:val="004B274F"/>
    <w:rsid w:val="005E61E3"/>
    <w:rsid w:val="006E1198"/>
    <w:rsid w:val="00F15FA8"/>
    <w:rsid w:val="00F3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7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Drouin</dc:creator>
  <cp:keywords/>
  <dc:description/>
  <cp:lastModifiedBy>Hugo Drouin</cp:lastModifiedBy>
  <cp:revision>6</cp:revision>
  <dcterms:created xsi:type="dcterms:W3CDTF">2008-10-05T22:35:00Z</dcterms:created>
  <dcterms:modified xsi:type="dcterms:W3CDTF">2008-10-05T22:52:00Z</dcterms:modified>
</cp:coreProperties>
</file>