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DBBA" w14:textId="14FA385F" w:rsidR="00412496" w:rsidRPr="00A36CA5" w:rsidRDefault="00A36CA5">
      <w:pPr>
        <w:rPr>
          <w:lang w:val="es-ES"/>
        </w:rPr>
      </w:pPr>
      <w:r>
        <w:rPr>
          <w:lang w:val="es-ES"/>
        </w:rPr>
        <w:t>hola</w:t>
      </w:r>
    </w:p>
    <w:sectPr w:rsidR="00412496" w:rsidRPr="00A36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96"/>
    <w:rsid w:val="00412496"/>
    <w:rsid w:val="00A3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C8CC9"/>
  <w15:chartTrackingRefBased/>
  <w15:docId w15:val="{B2D37D39-1F6D-D544-AA20-CE1D1EE2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Andrés Cavazos Cantú</dc:creator>
  <cp:keywords/>
  <dc:description/>
  <cp:lastModifiedBy>Ricardo Andrés Cavazos Cantú</cp:lastModifiedBy>
  <cp:revision>2</cp:revision>
  <dcterms:created xsi:type="dcterms:W3CDTF">2021-03-18T23:20:00Z</dcterms:created>
  <dcterms:modified xsi:type="dcterms:W3CDTF">2021-03-18T23:20:00Z</dcterms:modified>
</cp:coreProperties>
</file>