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start"/>
        <w:rPr/>
      </w:pPr>
      <w:r>
        <w:rPr>
          <w:rFonts w:ascii="Space Grotesk" w:hAnsi="Space Grotesk"/>
          <w:b/>
          <w:color w:val="0B8793"/>
          <w:sz w:val="28"/>
        </w:rPr>
        <w:t>ClassBox</w:t>
      </w:r>
    </w:p>
    <w:tbl>
      <w:tblPr>
        <w:tblW w:w="10166" w:type="dxa"/>
        <w:jc w:val="start"/>
        <w:tblInd w:w="260" w:type="dxa"/>
        <w:tblLayout w:type="fixed"/>
        <w:tblCellMar>
          <w:top w:w="260" w:type="dxa"/>
          <w:start w:w="260" w:type="dxa"/>
          <w:bottom w:w="260" w:type="dxa"/>
          <w:end w:w="260" w:type="dxa"/>
        </w:tblCellMar>
        <w:tblLook w:noHBand="0" w:noVBand="1" w:firstColumn="1" w:lastRow="0" w:lastColumn="0" w:firstRow="1" w:val="04a0"/>
      </w:tblPr>
      <w:tblGrid>
        <w:gridCol w:w="10166"/>
      </w:tblGrid>
      <w:tr>
        <w:trPr/>
        <w:tc>
          <w:tcPr>
            <w:tcW w:w="10166" w:type="dxa"/>
            <w:tcBorders/>
            <w:shd w:fill="4C8D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rFonts w:ascii="Space Grotesk" w:hAnsi="Space Grotesk"/>
                <w:b/>
                <w:color w:val="03111F"/>
                <w:sz w:val="72"/>
              </w:rPr>
              <w:t>CHARTE GRAPHIQUE</w:t>
            </w:r>
          </w:p>
        </w:tc>
      </w:tr>
    </w:tbl>
    <w:p>
      <w:pPr>
        <w:pStyle w:val="Title"/>
        <w:jc w:val="start"/>
        <w:rPr>
          <w:rFonts w:ascii="Space Grotesk" w:hAnsi="Space Grotesk"/>
          <w:b/>
          <w:color w:val="123047"/>
          <w:sz w:val="54"/>
        </w:rPr>
      </w:pPr>
      <w:r>
        <w:rPr>
          <w:rFonts w:ascii="Space Grotesk" w:hAnsi="Space Grotesk"/>
          <w:b/>
          <w:color w:val="123047"/>
          <w:sz w:val="54"/>
        </w:rPr>
      </w:r>
    </w:p>
    <w:p>
      <w:pPr>
        <w:pStyle w:val="Normal"/>
        <w:rPr/>
      </w:pPr>
      <w:r>
        <w:rPr>
          <w:rFonts w:ascii="Space Grotesk" w:hAnsi="Space Grotesk"/>
          <w:color w:val="123047"/>
          <w:sz w:val="44"/>
        </w:rPr>
        <w:t xml:space="preserve">Site web </w:t>
      </w:r>
    </w:p>
    <w:p>
      <w:pPr>
        <w:pStyle w:val="Normal"/>
        <w:rPr/>
      </w:pPr>
      <w:r>
        <w:rPr/>
        <w:drawing>
          <wp:inline distT="0" distB="0" distL="0" distR="0">
            <wp:extent cx="6035040" cy="3535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353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i w:val="false"/>
          <w:iCs w:val="false"/>
        </w:rPr>
      </w:pPr>
      <w:r>
        <w:rPr>
          <w:i w:val="false"/>
          <w:iCs w:val="false"/>
          <w:color w:val="4F6475"/>
          <w:sz w:val="18"/>
        </w:rPr>
        <w:t>Une interface sombre, claire et technologique.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300"/>
        <w:contextualSpacing/>
        <w:jc w:val="start"/>
        <w:rPr/>
      </w:pPr>
      <w:r>
        <w:rPr>
          <w:rFonts w:ascii="Space Grotesk" w:hAnsi="Space Grotesk"/>
          <w:b/>
          <w:color w:val="123047"/>
          <w:sz w:val="54"/>
        </w:rPr>
        <w:t>1. Identité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Positionnement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CertiHub est une plateforme de référence pour aider les étudiants en informatique à choisir, préparer et suivre leurs certifications professionnelles.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Personnalité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Technologique sans être froide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Professionnelle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Simple à comprendre, rapide à parcourir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Principes de design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Un message principal par zone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Peu de couleurs : le bleu/vert structure l’interface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Transparence : les cartes évoquent du verre mais gardent du contraste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Les couleurs vivent servent uniquement à signaler une information importante</w:t>
      </w:r>
    </w:p>
    <w:p>
      <w:pPr>
        <w:pStyle w:val="Normal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877570</wp:posOffset>
            </wp:positionH>
            <wp:positionV relativeFrom="paragraph">
              <wp:posOffset>467360</wp:posOffset>
            </wp:positionV>
            <wp:extent cx="4700270" cy="13296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270" cy="132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865505</wp:posOffset>
            </wp:positionH>
            <wp:positionV relativeFrom="paragraph">
              <wp:posOffset>2538730</wp:posOffset>
            </wp:positionV>
            <wp:extent cx="4796155" cy="13569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6155" cy="13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Title"/>
        <w:spacing w:before="0" w:after="300"/>
        <w:contextualSpacing/>
        <w:jc w:val="start"/>
        <w:rPr/>
      </w:pPr>
      <w:r>
        <w:rPr>
          <w:rFonts w:ascii="Space Grotesk" w:hAnsi="Space Grotesk"/>
          <w:b/>
          <w:color w:val="123047"/>
          <w:sz w:val="54"/>
        </w:rPr>
        <w:t>2. Palette chromatique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La palette repose sur un fond bleu marine et des variantes bleu/vert. Les pastilles orange et rouge sont réservées aux états de difficulté.</w:t>
      </w:r>
    </w:p>
    <w:tbl>
      <w:tblPr>
        <w:tblW w:w="10164" w:type="dxa"/>
        <w:jc w:val="center"/>
        <w:tblInd w:w="0" w:type="dxa"/>
        <w:tblLayout w:type="fixed"/>
        <w:tblCellMar>
          <w:top w:w="140" w:type="dxa"/>
          <w:start w:w="100" w:type="dxa"/>
          <w:bottom w:w="140" w:type="dxa"/>
          <w:end w:w="100" w:type="dxa"/>
        </w:tblCellMar>
        <w:tblLook w:noHBand="0" w:noVBand="1" w:firstColumn="1" w:lastRow="0" w:lastColumn="0" w:firstRow="1" w:val="04a0"/>
      </w:tblPr>
      <w:tblGrid>
        <w:gridCol w:w="1694"/>
        <w:gridCol w:w="1693"/>
        <w:gridCol w:w="1695"/>
        <w:gridCol w:w="1694"/>
        <w:gridCol w:w="1693"/>
        <w:gridCol w:w="1695"/>
      </w:tblGrid>
      <w:tr>
        <w:trPr/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06152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Fond principal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#061525 • Page, header, grandes surfaces</w:t>
            </w:r>
          </w:p>
        </w:tc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0A2035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Fond secondaire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#0A2035 • Sections et profondeur</w:t>
            </w:r>
          </w:p>
        </w:tc>
      </w:tr>
      <w:tr>
        <w:trPr/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0C1F31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Carte glass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#0C1F31 • Cards et panneaux</w:t>
            </w:r>
          </w:p>
        </w:tc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4C8D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Bleu primaire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#4C8DFF • CTA, liens, graphiques</w:t>
            </w:r>
          </w:p>
        </w:tc>
      </w:tr>
      <w:tr>
        <w:trPr/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46D4DB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Cyan accent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#46D4DB • Labels et surlignage</w:t>
            </w:r>
          </w:p>
        </w:tc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66DFB7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Vert accent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#66DFB7 • Validation, fournisseur, progression</w:t>
            </w:r>
          </w:p>
        </w:tc>
      </w:tr>
      <w:tr>
        <w:trPr/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F3A85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Orange difficulté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#F3A85F • Intermédiaire</w:t>
            </w:r>
          </w:p>
        </w:tc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EF6E77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Rouge difficulté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#EF6E77 • Avancé / alerte</w:t>
            </w:r>
          </w:p>
        </w:tc>
      </w:tr>
      <w:tr>
        <w:trPr/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EFF8FF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Texte principal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#EFF8FF • Titres et informations clés</w:t>
            </w:r>
          </w:p>
        </w:tc>
        <w:tc>
          <w:tcPr>
            <w:tcW w:w="1694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shd w:fill="93ABC0" w:val="clea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color w:val="FFFFFF"/>
                <w:sz w:val="36"/>
              </w:rPr>
              <w:t>●</w:t>
            </w:r>
          </w:p>
        </w:tc>
        <w:tc>
          <w:tcPr>
            <w:tcW w:w="1693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123047"/>
                <w:sz w:val="17"/>
              </w:rPr>
              <w:t>Texte secondaire</w:t>
            </w:r>
          </w:p>
        </w:tc>
        <w:tc>
          <w:tcPr>
            <w:tcW w:w="1695" w:type="dxa"/>
            <w:tcBorders>
              <w:top w:val="single" w:sz="2" w:space="0" w:color="D8E3EA"/>
              <w:start w:val="single" w:sz="2" w:space="0" w:color="D8E3EA"/>
              <w:bottom w:val="single" w:sz="2" w:space="0" w:color="D8E3EA"/>
              <w:end w:val="single" w:sz="2" w:space="0" w:color="D8E3EA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>
                <w:color w:val="4F6475"/>
                <w:sz w:val="17"/>
              </w:rPr>
              <w:t>#93ABC0 • Descriptions et métadonnées</w:t>
            </w:r>
          </w:p>
        </w:tc>
      </w:tr>
    </w:tbl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Règle de contraste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Le fond doit toujours rester plus sombre que les surfaces. Les cartes ne doivent jamais devenir plus claires que le fond au point de perdre l’effet de profondeur.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Title"/>
        <w:spacing w:before="0" w:after="300"/>
        <w:contextualSpacing/>
        <w:jc w:val="start"/>
        <w:rPr/>
      </w:pPr>
      <w:r>
        <w:rPr>
          <w:rFonts w:ascii="Space Grotesk" w:hAnsi="Space Grotesk"/>
          <w:b/>
          <w:color w:val="123047"/>
          <w:sz w:val="54"/>
        </w:rPr>
        <w:t>3. Typographie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Space Grotesk — titres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Usage : logo, H1, H2, noms de certifications, chiffres majeurs et éléments de navigation importants.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Styles recommandés : 700 pour les titres principaux, 600 pour les titres secondaires. Interlettrage légèrement resserré sur les grands titres.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DM Sans — interface &amp; contenu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Usage : paragraphes, labels, boutons, métadonnées, filtres et messages système.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Styles recommandés : 400 pour le contenu, 600–700 pour les contrôles et actions</w:t>
      </w:r>
      <w:r>
        <w:br w:type="page"/>
      </w:r>
    </w:p>
    <w:p>
      <w:pPr>
        <w:pStyle w:val="Title"/>
        <w:spacing w:before="0" w:after="300"/>
        <w:contextualSpacing/>
        <w:jc w:val="start"/>
        <w:rPr/>
      </w:pPr>
      <w:r>
        <w:rPr>
          <w:rFonts w:ascii="Space Grotesk" w:hAnsi="Space Grotesk"/>
          <w:b/>
          <w:color w:val="123047"/>
          <w:sz w:val="54"/>
        </w:rPr>
        <w:t>4. Cards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Certification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Fond uni translucide : rgba(12,31,49,.72) ou équivalent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Bordure fine, discrète et légèrement bleutée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Rayon de 20–22 px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Ombre large et douce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Blur arrière modéré si disponible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Aucun dégradé de couleur sur les cards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Hiérarchie interne d’une card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Nom de certification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Résumé très court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Fournisseur en vert : Microsoft, AWS, Cisco, etc. — jamais de sigle à la place du nom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Difficulté : uniquement une pastille colorée (vert / orange / rouge)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Prix et domaine dans la zone méta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Icône monochrome placée en bas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/>
      </w:pPr>
      <w:r>
        <w:rPr>
          <w:color w:val="4F6475"/>
          <w:sz w:val="20"/>
        </w:rPr>
        <w:t>Bouton « Voir le détail » sans flèche</w:t>
      </w:r>
    </w:p>
    <w:p>
      <w:pPr>
        <w:pStyle w:val="Heading2"/>
        <w:rPr/>
      </w:pPr>
      <w:r>
        <w:rPr>
          <w:rFonts w:ascii="Space Grotesk" w:hAnsi="Space Grotesk"/>
          <w:b/>
          <w:color w:val="0B8793"/>
          <w:sz w:val="26"/>
        </w:rPr>
        <w:t>Principe global</w:t>
      </w:r>
    </w:p>
    <w:p>
      <w:pPr>
        <w:pStyle w:val="Normal"/>
        <w:spacing w:before="0" w:after="120"/>
        <w:rPr/>
      </w:pPr>
      <w:r>
        <w:rPr>
          <w:color w:val="4F6475"/>
          <w:sz w:val="21"/>
        </w:rPr>
        <w:t>Toutes les cards d’une même collection utilisent le même fond. La couleur ne doit pas servir à identifier les domaines ; les labels et l’iconographie s’en chargent.</w:t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55410" cy="208851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5410" cy="208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rFonts w:ascii="Space Grotesk" w:hAnsi="Space Grotesk"/>
          <w:b/>
          <w:color w:val="0B8793"/>
          <w:sz w:val="22"/>
        </w:rPr>
      </w:pPr>
      <w:r>
        <w:rPr>
          <w:rFonts w:ascii="Space Grotesk" w:hAnsi="Space Grotesk"/>
          <w:b/>
          <w:color w:val="0B8793"/>
          <w:sz w:val="22"/>
        </w:rPr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1037" w:right="1037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DM Sans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pace Grotes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olor w:val="93ABC0"/>
        <w:sz w:val="16"/>
      </w:rPr>
    </w:pPr>
    <w:r>
      <w:rPr>
        <w:color w:val="93ABC0"/>
        <w:sz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color w:val="93ABC0"/>
        <w:sz w:val="16"/>
      </w:rPr>
    </w:pPr>
    <w:r>
      <w:rPr>
        <w:color w:val="93ABC0"/>
        <w:sz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DM Sans" w:hAnsi="DM Sans" w:eastAsia="ＭＳ 明朝" w:cs=""/>
      <w:color w:val="93ABC0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LibreOffice/26.2.6.3$Linux_X86_64 LibreOffice_project/620$Build-3</Application>
  <AppVersion>15.0000</AppVersion>
  <Pages>5</Pages>
  <Words>432</Words>
  <Characters>2286</Characters>
  <CharactersWithSpaces>2625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cp:lastPrinted>2026-09-28T16:33:29Z</cp:lastPrinted>
  <dcterms:modified xsi:type="dcterms:W3CDTF">2026-10-20T14:21:33Z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