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Segoe UI" w:cs="Segoe UI" w:eastAsia="Segoe UI" w:hAnsi="Segoe UI"/>
          <w:b/>
          <w:bCs/>
          <w:color w:val="003366"/>
          <w:sz w:val="32"/>
          <w:szCs w:val="32"/>
        </w:rPr>
        <w:t xml:space="preserve">SERVIÇO NACIONAL DE APRENDIZAGEM INDUSTRIAL — SENAI-SP</w:t>
      </w:r>
    </w:p>
    <w:p>
      <w:pPr>
        <w:spacing w:after="140"/>
      </w:pPr>
      <w:r>
        <w:rPr>
          <w:rFonts w:ascii="Segoe UI" w:cs="Segoe UI" w:eastAsia="Segoe UI" w:hAnsi="Segoe UI"/>
          <w:color w:val="4B5563"/>
          <w:sz w:val="24"/>
          <w:szCs w:val="24"/>
        </w:rPr>
        <w:t xml:space="preserve">Unidade: CFP Registro / Educação a Distância (EAD)
Curso: Aperfeiçoamento Profissional em Inteligência Artificial Generativa Aplicada à Programação
Atividade Prática Individual: "O Orçamento na Hora" — Pintura Express (Valdir Pintor)</w:t>
      </w:r>
    </w:p>
    <w:p>
      <w:pPr>
        <w:pStyle w:val="Heading1"/>
        <w:spacing w:after="80" w:before="180"/>
      </w:pPr>
      <w:r>
        <w:rPr>
          <w:rFonts w:ascii="Segoe UI" w:cs="Segoe UI" w:eastAsia="Segoe UI" w:hAnsi="Segoe UI"/>
          <w:b/>
          <w:bCs/>
          <w:color w:val="003366"/>
          <w:sz w:val="26"/>
          <w:szCs w:val="26"/>
        </w:rPr>
        <w:t xml:space="preserve">1. QUADRO 1 — IDENTIFICAÇÃO DO ESTUDANTE E ENTREGÁVEIS DO PROJETO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O Quadro 1 consolida os dados de identificação do aluno e os links oficiais dos ambientes em produção, atestando a entrega e operação completa da solução desenvolvida: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Item de Identificação / Entregável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Detalhamento Técnico / Link de Acesso Oficial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Estudante Responsável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27272A"/>
                <w:sz w:val="19"/>
                <w:szCs w:val="19"/>
              </w:rPr>
              <w:t xml:space="preserve">MATHEUS HENRIQUE DE OLIVEIRA COSTA</w:t>
            </w:r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(Unidade: CFP Registro / EAD)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Ambiente de Produção (Chat Web)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hyperlink w:history="1" r:id="rIdymea9pjjksfhtjj5v2ebe">
              <w:r>
                <w:rPr>
                  <w:rFonts w:ascii="Segoe UI" w:cs="Segoe UI" w:eastAsia="Segoe UI" w:hAnsi="Segoe UI"/>
                  <w:color w:val="003366"/>
                  <w:sz w:val="19"/>
                  <w:szCs w:val="19"/>
                  <w:u w:val="single"/>
                </w:rPr>
                <w:t xml:space="preserve">https://orcamento-na-hora.pages.dev/</w:t>
              </w:r>
            </w:hyperlink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— Aplicação pública no Cloudflare Pages com proposta comercial em tempo real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Painel Administrativo do Prestador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hyperlink w:history="1" r:id="rIdt3iyqwtcm__kcrjpc_tfo">
              <w:r>
                <w:rPr>
                  <w:rFonts w:ascii="Segoe UI" w:cs="Segoe UI" w:eastAsia="Segoe UI" w:hAnsi="Segoe UI"/>
                  <w:color w:val="003366"/>
                  <w:sz w:val="19"/>
                  <w:szCs w:val="19"/>
                  <w:u w:val="single"/>
                </w:rPr>
                <w:t xml:space="preserve">https://orcamento-na-hora.pages.dev/admin.html</w:t>
              </w:r>
            </w:hyperlink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(Acesso restrito autenticado via Supabase Auth RBAC)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Bot Oficial no Telegram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hyperlink w:history="1" r:id="rIdcsrptpg-y6yk86z9mf3ct">
              <w:r>
                <w:rPr>
                  <w:rFonts w:ascii="Segoe UI" w:cs="Segoe UI" w:eastAsia="Segoe UI" w:hAnsi="Segoe UI"/>
                  <w:color w:val="003366"/>
                  <w:sz w:val="19"/>
                  <w:szCs w:val="19"/>
                  <w:u w:val="single"/>
                </w:rPr>
                <w:t xml:space="preserve">https://t.me/valdir_pintor_orcamento_bot</w:t>
              </w:r>
            </w:hyperlink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(@valdir_pintor_orcamento_bot) — Webhook bidirecional ativo e alertas simultâneos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Repositório do Código (GitHub)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hyperlink w:history="1" r:id="rIdtifox3lxgk3ngfwjwdzhd">
              <w:r>
                <w:rPr>
                  <w:rFonts w:ascii="Segoe UI" w:cs="Segoe UI" w:eastAsia="Segoe UI" w:hAnsi="Segoe UI"/>
                  <w:color w:val="003366"/>
                  <w:sz w:val="19"/>
                  <w:szCs w:val="19"/>
                  <w:u w:val="single"/>
                </w:rPr>
                <w:t xml:space="preserve">https://github.com/matheuhenriqu/orcamento-na-hora</w:t>
              </w:r>
            </w:hyperlink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(Branch principal: main — Repositório auditado e versionado)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Infraestrutura em Nuvem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Supabase Cloud (Projeto: </w:t>
            </w:r>
            <w:r>
              <w:rPr>
                <w:rFonts w:ascii="Segoe UI" w:cs="Segoe UI" w:eastAsia="Segoe UI" w:hAnsi="Segoe UI"/>
                <w:b/>
                <w:bCs/>
                <w:color w:val="003366"/>
                <w:sz w:val="19"/>
                <w:szCs w:val="19"/>
              </w:rPr>
              <w:t xml:space="preserve">odfvajqnaeodwzaljxzm</w:t>
            </w:r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) + Cloudflare Pages + Groq Cloud API</w:t>
            </w:r>
          </w:p>
        </w:tc>
      </w:tr>
    </w:tbl>
    <w:p>
      <w:pPr>
        <w:spacing w:after="120"/>
      </w:pPr>
    </w:p>
    <w:p>
      <w:pPr>
        <w:pStyle w:val="Heading1"/>
        <w:spacing w:after="80" w:before="180"/>
      </w:pPr>
      <w:r>
        <w:rPr>
          <w:rFonts w:ascii="Segoe UI" w:cs="Segoe UI" w:eastAsia="Segoe UI" w:hAnsi="Segoe UI"/>
          <w:b/>
          <w:bCs/>
          <w:color w:val="003366"/>
          <w:sz w:val="26"/>
          <w:szCs w:val="26"/>
        </w:rPr>
        <w:t xml:space="preserve">2. QUADRO 2 — TABELA OFICIAL DE PREÇOS E REGRAS DE NEGÓCIO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O assistente virtual atua estritamente com a tabela de tarifas fixas e regras comerciais do profissional autônomo Valdir Pinturas &amp; Acabamentos, sendo expressamente proibido de calcular valores de cabeça ou inventar dados: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Serviço de Pintura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Preço Unitário Fixo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Critério Técnico de Execução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Parede Lisa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R$ 120,00 / cômodo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Emassamento, lixamento e aplicação de 2 demãos de tinta acrílica/látex padrão.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Parede com Textura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R$ 180,00 / cômodo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Aplicação de grafiato ou textura rústica com maior consumo de material e tempo de secagem.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Teto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R$ 100,00 / cômodo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Pintura técnica de tetos com acabamento fosco anti-respingos.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Desconto por Quantidade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10% no Total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Regra automática para volumes a partir de 5 cômodos contratados.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Taxa de Deslocamento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+ R$ 30,00 fixos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Adicionada caso o cliente indique localização afastada ou zona rural.</w:t>
            </w:r>
          </w:p>
        </w:tc>
      </w:tr>
    </w:tbl>
    <w:p>
      <w:pPr>
        <w:spacing w:after="80"/>
      </w:pPr>
    </w:p>
    <w:p>
      <w:pPr>
        <w:spacing w:after="80" w:line="276"/>
      </w:pPr>
      <w:r>
        <w:rPr>
          <w:rFonts w:ascii="Segoe UI" w:cs="Segoe UI" w:eastAsia="Segoe UI" w:hAnsi="Segoe UI"/>
          <w:b/>
          <w:bCs/>
          <w:i w:val="false"/>
          <w:iCs w:val="false"/>
          <w:color w:val="003366"/>
          <w:sz w:val="21"/>
          <w:szCs w:val="21"/>
        </w:rPr>
        <w:t xml:space="preserve">Conformidade do Cálculo Determinístico em Edge Function: 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A solução adota o princípio de cálculo desacoplado. O modelo de linguagem (Groq / Qwen 2.5 32B) atua como orquestrador de intenções semânticas e é obrigado a acionar a Edge Function </w:t>
      </w:r>
      <w:r>
        <w:rPr>
          <w:rFonts w:ascii="Segoe UI" w:cs="Segoe UI" w:eastAsia="Segoe UI" w:hAnsi="Segoe UI"/>
          <w:b/>
          <w:bCs/>
          <w:i w:val="false"/>
          <w:iCs w:val="false"/>
          <w:color w:val="27272A"/>
          <w:sz w:val="21"/>
          <w:szCs w:val="21"/>
        </w:rPr>
        <w:t xml:space="preserve">calcular_orcamento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. Essa abordagem computacional determinística elimina integralmente qualquer possibilidade de alucinação matemática pela IA, garantindo que o valor final, os descontos progressivos de 10% e as taxas de visita técnica obedeçam com precisão contábil à tabela oficial do pintor.</w:t>
      </w:r>
    </w:p>
    <w:p>
      <w:pPr>
        <w:spacing w:after="120"/>
      </w:pPr>
    </w:p>
    <w:p>
      <w:pPr>
        <w:pStyle w:val="Heading1"/>
        <w:spacing w:after="80" w:before="180"/>
      </w:pPr>
      <w:r>
        <w:rPr>
          <w:rFonts w:ascii="Segoe UI" w:cs="Segoe UI" w:eastAsia="Segoe UI" w:hAnsi="Segoe UI"/>
          <w:b/>
          <w:bCs/>
          <w:color w:val="003366"/>
          <w:sz w:val="26"/>
          <w:szCs w:val="26"/>
        </w:rPr>
        <w:t xml:space="preserve">3. ARQUITETURA DA SOLUÇÃO E MODELO DE INTEGRAÇÃO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O ecossistema do projeto foi estruturado segundo um padrão serverless moderno, dividindo as responsabilidades em quatro camadas técnicas de alta performance:</w:t>
      </w:r>
    </w:p>
    <w:p>
      <w:pPr>
        <w:pStyle w:val="Heading2"/>
        <w:spacing w:after="60" w:before="120"/>
      </w:pPr>
      <w:r>
        <w:rPr>
          <w:rFonts w:ascii="Segoe UI" w:cs="Segoe UI" w:eastAsia="Segoe UI" w:hAnsi="Segoe UI"/>
          <w:b/>
          <w:bCs/>
          <w:color w:val="1F2937"/>
          <w:sz w:val="22"/>
          <w:szCs w:val="22"/>
        </w:rPr>
        <w:t xml:space="preserve">3.1 Frontend e Camada de Apresentação (Cloudflare Pages)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Single Page Application desenvolvida em HTML5, CSS3 e JavaScript Vanilla puro, sem sobrecarga de frameworks. Apresenta layout corporativo no padrão </w:t>
      </w:r>
      <w:r>
        <w:rPr>
          <w:rFonts w:ascii="Segoe UI" w:cs="Segoe UI" w:eastAsia="Segoe UI" w:hAnsi="Segoe UI"/>
          <w:b/>
          <w:bCs/>
          <w:i w:val="false"/>
          <w:iCs w:val="false"/>
          <w:color w:val="27272A"/>
          <w:sz w:val="21"/>
          <w:szCs w:val="21"/>
        </w:rPr>
        <w:t xml:space="preserve">Swiss Industrial / High-Contrast SaaS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 com disposição em duas colunas estruturais no desktop, viewport adaptativo </w:t>
      </w:r>
      <w:r>
        <w:rPr>
          <w:rFonts w:ascii="Segoe UI" w:cs="Segoe UI" w:eastAsia="Segoe UI" w:hAnsi="Segoe UI"/>
          <w:b/>
          <w:bCs/>
          <w:i w:val="false"/>
          <w:iCs w:val="false"/>
          <w:color w:val="27272A"/>
          <w:sz w:val="21"/>
          <w:szCs w:val="21"/>
        </w:rPr>
        <w:t xml:space="preserve">100dvh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 para dispositivos móveis, cards dinâmicos de resposta comercial e login gate por sessão (/admin.html).</w:t>
      </w:r>
    </w:p>
    <w:p>
      <w:pPr>
        <w:pStyle w:val="Heading2"/>
        <w:spacing w:after="60" w:before="120"/>
      </w:pPr>
      <w:r>
        <w:rPr>
          <w:rFonts w:ascii="Segoe UI" w:cs="Segoe UI" w:eastAsia="Segoe UI" w:hAnsi="Segoe UI"/>
          <w:b/>
          <w:bCs/>
          <w:color w:val="1F2937"/>
          <w:sz w:val="22"/>
          <w:szCs w:val="22"/>
        </w:rPr>
        <w:t xml:space="preserve">3.2 Camada de Inteligência Artificial e Raciocínio (Groq Cloud)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Processamento de linguagem natural com tempo de resposta ultrabaixo utilizando o modelo </w:t>
      </w:r>
      <w:r>
        <w:rPr>
          <w:rFonts w:ascii="Segoe UI" w:cs="Segoe UI" w:eastAsia="Segoe UI" w:hAnsi="Segoe UI"/>
          <w:b/>
          <w:bCs/>
          <w:i w:val="false"/>
          <w:iCs w:val="false"/>
          <w:color w:val="27272A"/>
          <w:sz w:val="21"/>
          <w:szCs w:val="21"/>
        </w:rPr>
        <w:t xml:space="preserve">Qwen 2.5 32B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 na Groq Cloud. Implementa Tool Calling nativo com schema rígido para as funções "calcular_orcamento" e "salvar_lead", além de system prompt com diretrizes rígidas anti-alucinação para interrogar dados faltantes antes de orçar.</w:t>
      </w:r>
    </w:p>
    <w:p>
      <w:pPr>
        <w:pStyle w:val="Heading2"/>
        <w:spacing w:after="60" w:before="120"/>
      </w:pPr>
      <w:r>
        <w:rPr>
          <w:rFonts w:ascii="Segoe UI" w:cs="Segoe UI" w:eastAsia="Segoe UI" w:hAnsi="Segoe UI"/>
          <w:b/>
          <w:bCs/>
          <w:color w:val="1F2937"/>
          <w:sz w:val="22"/>
          <w:szCs w:val="22"/>
        </w:rPr>
        <w:t xml:space="preserve">3.3 Backend Serverless e Persistência (Supabase Edge Functions)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Microsserviços desenvolvidos em Deno/TypeScript executados em nuvem na região sa-east-1 (/chat, /calcular-orcamento, /salvar-lead e /telegram-webhook). A persistência utiliza o PostgreSQL gerenciado do Supabase com tabelas dedicadas (tabela_precos, orcamentos_leads e telegram_inscritos) protegidas por Row Level Security (RLS).</w:t>
      </w:r>
    </w:p>
    <w:p>
      <w:pPr>
        <w:pStyle w:val="Heading2"/>
        <w:spacing w:after="60" w:before="120"/>
      </w:pPr>
      <w:r>
        <w:rPr>
          <w:rFonts w:ascii="Segoe UI" w:cs="Segoe UI" w:eastAsia="Segoe UI" w:hAnsi="Segoe UI"/>
          <w:b/>
          <w:bCs/>
          <w:color w:val="1F2937"/>
          <w:sz w:val="22"/>
          <w:szCs w:val="22"/>
        </w:rPr>
        <w:t xml:space="preserve">3.4 Mensageria em Tempo Real e Webhook (Telegram Bot API)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Integração oficial com o bot @valdir_pintor_orcamento_bot conectada ao endpoint /telegram-webhook. Permite autoinscrição de profissionais via comando /start, persistência na tabela telegram_inscritos, consultas operacionais (/orcamentos e /status) e despacho simultâneo de novos orçamentos com link direto para o WhatsApp do cliente.</w:t>
      </w:r>
    </w:p>
    <w:p>
      <w:pPr>
        <w:spacing w:after="120"/>
      </w:pPr>
    </w:p>
    <w:p>
      <w:pPr>
        <w:pStyle w:val="Heading1"/>
        <w:spacing w:after="80" w:before="180"/>
      </w:pPr>
      <w:r>
        <w:rPr>
          <w:rFonts w:ascii="Segoe UI" w:cs="Segoe UI" w:eastAsia="Segoe UI" w:hAnsi="Segoe UI"/>
          <w:b/>
          <w:bCs/>
          <w:color w:val="003366"/>
          <w:sz w:val="26"/>
          <w:szCs w:val="26"/>
        </w:rPr>
        <w:t xml:space="preserve">4. QUADRO 3 — MATRIZ DE HOMOLOGAÇÃO E TESTES AUTOMATIZADOS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Para assegurar a conformidade irrestrita com todas as exigências da atividade prática, foi executada a suíte de testes sintéticos automatizados </w:t>
      </w:r>
      <w:r>
        <w:rPr>
          <w:rFonts w:ascii="Segoe UI" w:cs="Segoe UI" w:eastAsia="Segoe UI" w:hAnsi="Segoe UI"/>
          <w:b/>
          <w:bCs/>
          <w:i w:val="false"/>
          <w:iCs w:val="false"/>
          <w:color w:val="27272A"/>
          <w:sz w:val="21"/>
          <w:szCs w:val="21"/>
        </w:rPr>
        <w:t xml:space="preserve">test_scenarios.js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 contra os servidores de produção, obtendo </w:t>
      </w:r>
      <w:r>
        <w:rPr>
          <w:rFonts w:ascii="Segoe UI" w:cs="Segoe UI" w:eastAsia="Segoe UI" w:hAnsi="Segoe UI"/>
          <w:b/>
          <w:bCs/>
          <w:i w:val="false"/>
          <w:iCs w:val="false"/>
          <w:color w:val="047857"/>
          <w:sz w:val="21"/>
          <w:szCs w:val="21"/>
        </w:rPr>
        <w:t xml:space="preserve">100% de aprovação (6 de 6 cenários aprovados)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Cenário de Teste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Prompt / Entrada Fornecida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Comportamento Esperado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Unitário #1: Textura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2 cômodos de Textura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Cálculo direto: 2 × R$ 180 = R$ 360,00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Unitário #2: Desconto 10%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6 cômodos de Teto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Aplicação 10% desc.: R$ 600 - R$ 60 = R$ 540,00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Unitário #3: Deslocamento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2 cômodos Parede Lisa + Visita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Soma determinística: R$ 240 + R$ 30 = R$ 270,00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End-to-End #1: Tool Calling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"Quero aplicar textura em 2 cômodos"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Acionamento autônomo da tool: R$ 360,00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End-to-End #2: Desconto IA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"Pintar o teto de 6 cômodos"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Reconhecimento do volume e desconto de 10%: R$ 540,00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Anti-Alucinação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"Quanto custa pintar com textura?"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Modelo recusa inventar valor e solicita cômodos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</w:tbl>
    <w:p>
      <w:pPr>
        <w:spacing w:after="120"/>
      </w:pPr>
    </w:p>
    <w:p>
      <w:pPr>
        <w:pStyle w:val="Heading1"/>
        <w:spacing w:after="80" w:before="180"/>
      </w:pPr>
      <w:r>
        <w:rPr>
          <w:rFonts w:ascii="Segoe UI" w:cs="Segoe UI" w:eastAsia="Segoe UI" w:hAnsi="Segoe UI"/>
          <w:b/>
          <w:bCs/>
          <w:color w:val="003366"/>
          <w:sz w:val="26"/>
          <w:szCs w:val="26"/>
        </w:rPr>
        <w:t xml:space="preserve">5. ROTEIRO DE AUDITORIA E TESTE PRÁTICO PARA O DOCENTE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Para facilitar a homologação pelo professor avaliador do SENAI-SP, sugere-se a execução do seguinte roteiro prático ordenado: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Segoe UI" w:cs="Segoe UI" w:eastAsia="Segoe UI" w:hAnsi="Segoe UI"/>
          <w:b/>
          <w:bCs/>
          <w:color w:val="1F2937"/>
          <w:sz w:val="21"/>
          <w:szCs w:val="21"/>
        </w:rPr>
        <w:t xml:space="preserve">Passo 1 (Chat Web): 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Acesse https://orcamento-na-hora.pages.dev/. Teste a recusa inteligente com dados incompletos (ex: "quanto custa a pintura?"). Em seguida, solicite 6 cômodos de teto no sítio e verifique o cálculo determinístico com 10% de desconto e taxa de deslocamento no Card Comercial Verde.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Segoe UI" w:cs="Segoe UI" w:eastAsia="Segoe UI" w:hAnsi="Segoe UI"/>
          <w:b/>
          <w:bCs/>
          <w:color w:val="1F2937"/>
          <w:sz w:val="21"/>
          <w:szCs w:val="21"/>
        </w:rPr>
        <w:t xml:space="preserve">Passo 2 (Bot no Telegram): 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No Telegram, abra https://t.me/valdir_pintor_orcamento_bot e envie o comando /start para registrar seu usuário. Conclua o atendimento no chat web informando seu nome e WhatsApp para receber imediatamente a notificação push com o link do cliente.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Segoe UI" w:cs="Segoe UI" w:eastAsia="Segoe UI" w:hAnsi="Segoe UI"/>
          <w:b/>
          <w:bCs/>
          <w:color w:val="1F2937"/>
          <w:sz w:val="21"/>
          <w:szCs w:val="21"/>
        </w:rPr>
        <w:t xml:space="preserve">Passo 3 (Painel Admin): 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Acesse https://orcamento-na-hora.pages.dev/admin.html. Na tela de login, autentique-se com seu e-mail e senha corporativa via Supabase Auth. Verifique a consolidação dos KPIs em tempo real (Faturamento, Ticket Médio e Total de Leads) e acione o botão com link direto para o WhatsApp.</w:t>
      </w:r>
    </w:p>
    <w:p>
      <w:pPr>
        <w:spacing w:after="60" w:before="180"/>
      </w:pPr>
    </w:p>
    <w:p>
      <w:pPr>
        <w:jc w:val="center"/>
      </w:pPr>
      <w:r>
        <w:rPr>
          <w:rFonts w:ascii="Segoe UI" w:cs="Segoe UI" w:eastAsia="Segoe UI" w:hAnsi="Segoe UI"/>
          <w:i/>
          <w:iCs/>
          <w:color w:val="4B5563"/>
          <w:sz w:val="19"/>
          <w:szCs w:val="19"/>
        </w:rPr>
        <w:t xml:space="preserve">Documento homologado e em total conformidade com a folha de atividade prática oficial do SENAI-SP.</w:t>
      </w:r>
    </w:p>
    <w:sectPr>
      <w:footerReference w:type="default" r:id="rId7"/>
      <w:pgSz w:w="11906" w:h="16838" w:orient="portrait"/>
      <w:pgMar w:top="1417" w:right="1134" w:bottom="1417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5%"/>
          <w:tcBorders>
            <w:top w:val="none"/>
            <w:left w:val="none"/>
            <w:bottom w:val="none"/>
            <w:right w:val="none"/>
          </w:tcBorders>
        </w:tcPr>
        <w:p>
          <w:r>
            <w:rPr>
              <w:rFonts w:ascii="Segoe UI" w:cs="Segoe UI" w:eastAsia="Segoe UI" w:hAnsi="Segoe UI"/>
              <w:color w:val="4B5563"/>
              <w:sz w:val="18"/>
              <w:szCs w:val="18"/>
            </w:rPr>
            <w:t xml:space="preserve">SENAI-SP — Formação Profissional em IA Aplicada</w:t>
          </w:r>
        </w:p>
      </w:tc>
      <w:tc>
        <w:tcPr>
          <w:tcW w:type="pct" w:w="35%"/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rPr>
              <w:rFonts w:ascii="Segoe UI" w:cs="Segoe UI" w:eastAsia="Segoe UI" w:hAnsi="Segoe UI"/>
              <w:color w:val="4B5563"/>
              <w:sz w:val="18"/>
              <w:szCs w:val="18"/>
            </w:rPr>
            <w:t xml:space="preserve">Página </w:t>
          </w:r>
          <w:r>
            <w:rPr>
              <w:rFonts w:ascii="Segoe UI" w:cs="Segoe UI" w:eastAsia="Segoe UI" w:hAnsi="Segoe UI"/>
              <w:color w:val="4B5563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Segoe UI" w:cs="Segoe UI" w:eastAsia="Segoe UI" w:hAnsi="Segoe UI"/>
              <w:color w:val="4B5563"/>
              <w:sz w:val="18"/>
              <w:szCs w:val="18"/>
            </w:rPr>
            <w:t xml:space="preserve"> de </w:t>
          </w:r>
          <w:r>
            <w:rPr>
              <w:rFonts w:ascii="Segoe UI" w:cs="Segoe UI" w:eastAsia="Segoe UI" w:hAnsi="Segoe UI"/>
              <w:color w:val="4B5563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mea9pjjksfhtjj5v2ebe" Type="http://schemas.openxmlformats.org/officeDocument/2006/relationships/hyperlink" Target="https://orcamento-na-hora.pages.dev/" TargetMode="External"/><Relationship Id="rIdt3iyqwtcm__kcrjpc_tfo" Type="http://schemas.openxmlformats.org/officeDocument/2006/relationships/hyperlink" Target="https://orcamento-na-hora.pages.dev/admin.html" TargetMode="External"/><Relationship Id="rIdcsrptpg-y6yk86z9mf3ct" Type="http://schemas.openxmlformats.org/officeDocument/2006/relationships/hyperlink" Target="https://t.me/valdir_pintor_orcamento_bot" TargetMode="External"/><Relationship Id="rIdtifox3lxgk3ngfwjwdzhd" Type="http://schemas.openxmlformats.org/officeDocument/2006/relationships/hyperlink" Target="https://github.com/matheuhenriqu/orcamento-na-hora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Oficial de Atividade Prática — O Orçamento na Hora (SENAI-SP)</dc:title>
  <dc:creator>MATHEUS HENRIQUE DE OLIVEIRA COSTA</dc:creator>
  <dc:description>Documento oficial estruturado e diagramado conforme o padrão institucional SENAI-SP.</dc:description>
  <cp:lastModifiedBy>Un-named</cp:lastModifiedBy>
  <cp:revision>1</cp:revision>
  <dcterms:created xsi:type="dcterms:W3CDTF">2026-09-17T00:21:50.128Z</dcterms:created>
  <dcterms:modified xsi:type="dcterms:W3CDTF">2026-09-17T00:21:50.129Z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