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>Arq. proc. ad judicia- ____________(1-vários)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>43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>43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>43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>43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>34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</w:t>
      </w:r>
      <w:r w:rsidDel="00000000" w:rsidR="00000000" w:rsidRPr="00000000">
        <w:rPr>
          <w:sz w:val="26"/>
          <w:szCs w:val="26"/>
          <w:highlight w:val="yellow"/>
          <w:rtl w:val="0"/>
        </w:rPr>
        <w:t>gante1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gante1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gaga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>gagaga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>gagag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>223.333.333-33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>fs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fd,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>fd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fd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fd</w:t>
      </w:r>
      <w:r w:rsidDel="00000000" w:rsidR="00000000" w:rsidRPr="00000000">
        <w:rPr>
          <w:sz w:val="26"/>
          <w:szCs w:val="26"/>
          <w:vertAlign w:val="baseline"/>
          <w:rtl w:val="0"/>
        </w:rPr>
        <w:t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seus bastantes procuradores, 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>1) -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yellow"/>
          <w:rtl w:val="0"/>
        </w:rPr>
        <w:t>gado1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nagado1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sogato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>pro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>rg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>111.111.111-11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>logra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ba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ba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ci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uf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 e,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>2) -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7"/>
          <w:szCs w:val="27"/>
          <w:highlight w:val="yellow"/>
          <w:rtl w:val="0"/>
        </w:rPr>
        <w:t>gado1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nagado1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sogato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>pro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>rg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>111.111.111-11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>logra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ba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ba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ci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>uf</w:t>
      </w:r>
      <w:r w:rsidDel="00000000" w:rsidR="00000000" w:rsidRPr="00000000">
        <w:rPr>
          <w:sz w:val="26"/>
          <w:szCs w:val="26"/>
          <w:vertAlign w:val="baseline"/>
          <w:rtl w:val="0"/>
        </w:rPr>
        <w:t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aos quais confere amplos poderes para o foro em geral, com a cláusula “ad-judicia”, podendo propor ações cíveis, usar de todos os recursos em direito admitidos, receber citações, confessar, reconhecer a procedência do pedido, agir em qualquer Juízo, Instância ou Tribunal, acompanhando os processos até decisão final, usando dos recursos legais; recorrer de qualquer despacho ou decisão à Instância Superior, transigir, fazer acordos, desistir, firmar compromissos, concordar ou discordar com cláusulas e condições, receber e dar quitação, apelar de quaisquer despachos e sentenças, tomar vistas e ciências, podendo inclusive substabelecer.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aos procuradores,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