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INSS - RECEBER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ao qual confere os mais amplos e gerais poderes para representá-la junto ao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INSS – (Instituto Nacional de Seguro Social), inclusive bancos designados pelo mesmo, com a finalidade de receber mensalmente, todas e quaisquer quantias vencidas e/ou vincendas, que faz jus, decorrentes da sua aposentadoria, pensão, ou qualquer outro benefício ou vantagem a que tenha direito a referida outorgante,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retirando se necessário o competente carnê, cartão magnético, aceitando, alterando e registrando senhas, fazer o recadastramento se necessário, podendo para tanto, dito procurador, receber dinheiro, passar recibos, receber cheques, endossando-os se necessário, dar quitação, requerer, alegar, praticar e assinar o que for preciso à bem de todos os direitos dela outorgante; transigir, desistir, fazer acordos, reclamações verbais ou escritas, inclusive requerer transferência, se necessário; enfim, tudo o mais praticar e assinar ao bom e completo desempenho do presente mandato, como se presente fosse, o que tudo dará por bom firme e valioso,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sendo vedado o substabelecimento.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Isento de selos e emolumentos.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