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aquisição Caixa-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à qual conferem amplos e gerais poderes para contrair empréstimos/arrendamento/parcelamento junto à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CAIXA ECONÔMICA FEDERAL – CEF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, podendo acompanhar e dar andamento ao processo habitacional,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abrir, movimentar e liquidar contas, tomar ciência dos despachos, cumprir exigências, juntar e retirar documentos, requerer, recorrer, concordar e ajustar as condições do mútuo, pagar taxas de serviço, assinar os contratos necessários, ajustar preços, prometer comprar, comprar, dar em garantia fiduciária ou hipotecária em qualquer grau o imóvel consistente em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(qualificação do imóvel), incluindo benfeitorias/acessões, nele existentes, 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confessar dívida, assumir obrigações, promover o registro da hipoteca ou da alienação fiduciária no Registro de Imóveis competente, assinar e endossar cheques, receber, passar recibo, dar e aceitar quitação, enfim praticar todos os atos relativos ao desempenho deste mandato, inclusive fazer retiradas na conta depósito vinculado relativo a este processo e substabelecer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