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0"/>
        <w:jc w:val="center"/>
      </w:pPr>
      <w:r>
        <w:rPr>
          <w:rFonts w:ascii="Calibri" w:cs="Calibri" w:eastAsia="Calibri" w:hAnsi="Calibri"/>
          <w:b/>
          <w:bCs/>
          <w:color w:val="01696F"/>
          <w:sz w:val="72"/>
          <w:szCs w:val="72"/>
        </w:rPr>
        <w:t xml:space="preserve">ICSKG-BR</w:t>
      </w:r>
    </w:p>
    <w:p>
      <w:pPr>
        <w:spacing w:after="200"/>
        <w:jc w:val="center"/>
      </w:pPr>
      <w:r>
        <w:rPr>
          <w:rFonts w:ascii="Calibri" w:cs="Calibri" w:eastAsia="Calibri" w:hAnsi="Calibri"/>
          <w:color w:val="666666"/>
          <w:sz w:val="24"/>
          <w:szCs w:val="24"/>
        </w:rPr>
        <w:t xml:space="preserve">Index of Cities' Smartness &amp; Knowledge for Global Surgery — Brazil</w:t>
      </w:r>
    </w:p>
    <w:p>
      <w:pPr>
        <w:spacing w:after="60"/>
      </w:pPr>
    </w:p>
    <w:p>
      <w:pPr>
        <w:pBdr>
          <w:bottom w:val="single" w:color="01696F" w:sz="3"/>
        </w:pBdr>
        <w:spacing w:after="200"/>
        <w:jc w:val="center"/>
      </w:pPr>
    </w:p>
    <w:p>
      <w:pPr>
        <w:spacing w:after="60"/>
      </w:pPr>
    </w:p>
    <w:p>
      <w:pPr>
        <w:spacing w:after="120"/>
        <w:jc w:val="center"/>
      </w:pPr>
      <w:r>
        <w:rPr>
          <w:rFonts w:ascii="Calibri" w:cs="Calibri" w:eastAsia="Calibri" w:hAnsi="Calibri"/>
          <w:b/>
          <w:bCs/>
          <w:color w:val="28251D"/>
          <w:sz w:val="32"/>
          <w:szCs w:val="32"/>
        </w:rPr>
        <w:t xml:space="preserve">Data Process Documentation and Reproducibility Guide</w:t>
      </w:r>
    </w:p>
    <w:p>
      <w:pPr>
        <w:spacing w:after="300"/>
        <w:jc w:val="center"/>
      </w:pPr>
      <w:r>
        <w:rPr>
          <w:rFonts w:ascii="Calibri" w:cs="Calibri" w:eastAsia="Calibri" w:hAnsi="Calibri"/>
          <w:i/>
          <w:iCs/>
          <w:color w:val="666666"/>
          <w:sz w:val="22"/>
          <w:szCs w:val="22"/>
        </w:rPr>
        <w:t xml:space="preserve">From Raw Public Data to Analysis-Ready Panel — Complete Technical Reference</w:t>
      </w:r>
    </w:p>
    <w:p>
      <w:pPr>
        <w:spacing w:after="60"/>
      </w:pPr>
    </w:p>
    <w:p>
      <w:pPr>
        <w:spacing w:after="60"/>
      </w:pPr>
    </w:p>
    <w:p>
      <w:pPr>
        <w:spacing w:after="60"/>
      </w:pPr>
    </w:p>
    <w:p>
      <w:pPr>
        <w:spacing w:after="80"/>
        <w:jc w:val="center"/>
      </w:pPr>
      <w:r>
        <w:rPr>
          <w:rFonts w:ascii="Calibri" w:cs="Calibri" w:eastAsia="Calibri" w:hAnsi="Calibri"/>
          <w:color w:val="333333"/>
          <w:sz w:val="24"/>
          <w:szCs w:val="24"/>
        </w:rPr>
        <w:t xml:space="preserve">ICSKG-BR Research Team</w:t>
      </w:r>
    </w:p>
    <w:p>
      <w:pPr>
        <w:spacing w:after="80"/>
        <w:jc w:val="center"/>
      </w:pPr>
      <w:r>
        <w:rPr>
          <w:rFonts w:ascii="Calibri" w:cs="Calibri" w:eastAsia="Calibri" w:hAnsi="Calibri"/>
          <w:color w:val="666666"/>
          <w:sz w:val="22"/>
          <w:szCs w:val="22"/>
        </w:rPr>
        <w:t xml:space="preserve">March 31, 2026</w:t>
      </w:r>
    </w:p>
    <w:p>
      <w:pPr>
        <w:spacing w:after="60"/>
      </w:pPr>
    </w:p>
    <w:p>
      <w:pPr>
        <w:spacing w:after="60"/>
      </w:pPr>
    </w:p>
    <w:p>
      <w:pPr>
        <w:spacing w:after="60"/>
      </w:pPr>
    </w:p>
    <w:p>
      <w:pPr>
        <w:spacing w:after="60"/>
      </w:pPr>
    </w:p>
    <w:p>
      <w:pPr>
        <w:spacing w:after="80"/>
        <w:jc w:val="center"/>
      </w:pPr>
      <w:r>
        <w:rPr>
          <w:rFonts w:ascii="Calibri" w:cs="Calibri" w:eastAsia="Calibri" w:hAnsi="Calibri"/>
          <w:color w:val="999999"/>
          <w:sz w:val="20"/>
          <w:szCs w:val="20"/>
        </w:rPr>
        <w:t xml:space="preserve">Version 1.0 — 9/9 CIMI Dimensions Complete</w:t>
      </w:r>
    </w:p>
    <w:p>
      <w:r>
        <w:br w:type="page"/>
      </w:r>
    </w:p>
    <w:p>
      <w:pPr>
        <w:pStyle w:val="Heading1"/>
        <w:spacing w:after="200"/>
      </w:pPr>
      <w:r>
        <w:rPr>
          <w:rFonts w:ascii="Calibri" w:cs="Calibri" w:eastAsia="Calibri" w:hAnsi="Calibri"/>
          <w:b/>
          <w:bCs/>
          <w:color w:val="01696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01696F"/>
          <w:sz w:val="32"/>
          <w:szCs w:val="32"/>
        </w:rPr>
        <w:t xml:space="preserve">1. Project Overview</w:t>
      </w:r>
    </w:p>
    <w:p>
      <w:pPr>
        <w:spacing w:after="120" w:line="276"/>
      </w:pPr>
      <w:r>
        <w:rPr>
          <w:rFonts w:ascii="Calibri" w:cs="Calibri" w:eastAsia="Calibri" w:hAnsi="Calibri"/>
          <w:sz w:val="22"/>
          <w:szCs w:val="22"/>
        </w:rPr>
        <w:t xml:space="preserve">The ICSKG-BR (Index of Cities' Smartness &amp; Knowledge for Global Surgery — Brazil) study examines the relationship between municipal urban development and surgical system performance across 5,570 Brazilian municipalities from 2015 to 2023. It operationalizes the IESE Cities in Motion Index (CIMI) 9-dimension framework as a Composite Urban Development Score (CUDS) and validates it against Lancet Commission on Global Surgery (LCoGS) indicators.</w:t>
      </w:r>
    </w:p>
    <w:p>
      <w:pPr>
        <w:spacing w:after="120" w:line="276"/>
      </w:pPr>
      <w:r>
        <w:rPr>
          <w:rFonts w:ascii="Calibri" w:cs="Calibri" w:eastAsia="Calibri" w:hAnsi="Calibri"/>
          <w:b/>
          <w:bCs/>
          <w:sz w:val="22"/>
          <w:szCs w:val="22"/>
        </w:rPr>
        <w:t xml:space="preserve">Significance: </w:t>
      </w:r>
      <w:r>
        <w:rPr>
          <w:rFonts w:ascii="Calibri" w:cs="Calibri" w:eastAsia="Calibri" w:hAnsi="Calibri"/>
          <w:sz w:val="22"/>
          <w:szCs w:val="22"/>
        </w:rPr>
        <w:t xml:space="preserve">This is the first study in any country to cross-reference urban development composite indices with surgical indicators at the subnational level. By leveraging Brazil's uniquely comprehensive public health information systems (DATASUS), the study creates a municipality-year panel dataset covering 5,570 municipalities over 9 years (50,130 observations).</w:t>
      </w:r>
    </w:p>
    <w:p>
      <w:pPr>
        <w:pStyle w:val="Heading2"/>
        <w:spacing w:after="140" w:before="280"/>
      </w:pPr>
      <w:r>
        <w:rPr>
          <w:rFonts w:ascii="Calibri" w:cs="Calibri" w:eastAsia="Calibri" w:hAnsi="Calibri"/>
          <w:b/>
          <w:bCs/>
          <w:color w:val="28251D"/>
          <w:sz w:val="26"/>
          <w:szCs w:val="26"/>
        </w:rPr>
        <w:t xml:space="preserve">1.1 Research Questions</w:t>
      </w:r>
    </w:p>
    <w:p>
      <w:pPr>
        <w:pStyle w:val="ListParagraph"/>
        <w:numPr>
          <w:ilvl w:val="0"/>
          <w:numId w:val="2"/>
        </w:numPr>
        <w:spacing w:after="60" w:line="276"/>
      </w:pPr>
      <w:r>
        <w:rPr>
          <w:rFonts w:ascii="Calibri" w:cs="Calibri" w:eastAsia="Calibri" w:hAnsi="Calibri"/>
          <w:sz w:val="22"/>
          <w:szCs w:val="22"/>
        </w:rPr>
        <w:t xml:space="preserve">Does municipal urban development (CUDS) predict surgical system performance (LCoGS indicators)?</w:t>
      </w:r>
    </w:p>
    <w:p>
      <w:pPr>
        <w:pStyle w:val="ListParagraph"/>
        <w:numPr>
          <w:ilvl w:val="0"/>
          <w:numId w:val="2"/>
        </w:numPr>
        <w:spacing w:after="60" w:line="276"/>
      </w:pPr>
      <w:r>
        <w:rPr>
          <w:rFonts w:ascii="Calibri" w:cs="Calibri" w:eastAsia="Calibri" w:hAnsi="Calibri"/>
          <w:sz w:val="22"/>
          <w:szCs w:val="22"/>
        </w:rPr>
        <w:t xml:space="preserve">Which CIMI dimensions most strongly associate with surgical access, workforce density, and surgical outcomes?</w:t>
      </w:r>
    </w:p>
    <w:p>
      <w:pPr>
        <w:pStyle w:val="ListParagraph"/>
        <w:numPr>
          <w:ilvl w:val="0"/>
          <w:numId w:val="2"/>
        </w:numPr>
        <w:spacing w:after="60" w:line="276"/>
      </w:pPr>
      <w:r>
        <w:rPr>
          <w:rFonts w:ascii="Calibri" w:cs="Calibri" w:eastAsia="Calibri" w:hAnsi="Calibri"/>
          <w:sz w:val="22"/>
          <w:szCs w:val="22"/>
        </w:rPr>
        <w:t xml:space="preserve">Are there dose-response relationships between development and surgical metrics, and do they vary by region?</w:t>
      </w:r>
    </w:p>
    <w:p>
      <w:pPr>
        <w:pStyle w:val="ListParagraph"/>
        <w:numPr>
          <w:ilvl w:val="0"/>
          <w:numId w:val="2"/>
        </w:numPr>
        <w:spacing w:after="60" w:line="276"/>
      </w:pPr>
      <w:r>
        <w:rPr>
          <w:rFonts w:ascii="Calibri" w:cs="Calibri" w:eastAsia="Calibri" w:hAnsi="Calibri"/>
          <w:sz w:val="22"/>
          <w:szCs w:val="22"/>
        </w:rPr>
        <w:t xml:space="preserve">Can machine learning models identify non-linear patterns and interaction effects not captured by traditional regression?</w:t>
      </w:r>
    </w:p>
    <w:p>
      <w:pPr>
        <w:pStyle w:val="Heading2"/>
        <w:spacing w:after="140" w:before="280"/>
      </w:pPr>
      <w:r>
        <w:rPr>
          <w:rFonts w:ascii="Calibri" w:cs="Calibri" w:eastAsia="Calibri" w:hAnsi="Calibri"/>
          <w:b/>
          <w:bCs/>
          <w:color w:val="28251D"/>
          <w:sz w:val="26"/>
          <w:szCs w:val="26"/>
        </w:rPr>
        <w:t xml:space="preserve">1.2 Study Design</w:t>
      </w:r>
    </w:p>
    <w:p>
      <w:pPr>
        <w:spacing w:after="120" w:line="276"/>
      </w:pPr>
      <w:r>
        <w:rPr>
          <w:rFonts w:ascii="Calibri" w:cs="Calibri" w:eastAsia="Calibri" w:hAnsi="Calibri"/>
          <w:b/>
          <w:bCs/>
          <w:sz w:val="22"/>
          <w:szCs w:val="22"/>
        </w:rPr>
        <w:t xml:space="preserve">Design: </w:t>
      </w:r>
      <w:r>
        <w:rPr>
          <w:rFonts w:ascii="Calibri" w:cs="Calibri" w:eastAsia="Calibri" w:hAnsi="Calibri"/>
          <w:sz w:val="22"/>
          <w:szCs w:val="22"/>
        </w:rPr>
        <w:t xml:space="preserve">Ecological panel study using publicly available administrative data. Unit of analysis: municipality-year. All 5,570 Brazilian municipalities are included without sampling.</w:t>
      </w:r>
    </w:p>
    <w:p>
      <w:pPr>
        <w:spacing w:after="120" w:line="276"/>
      </w:pPr>
      <w:r>
        <w:rPr>
          <w:rFonts w:ascii="Calibri" w:cs="Calibri" w:eastAsia="Calibri" w:hAnsi="Calibri"/>
          <w:b/>
          <w:bCs/>
          <w:sz w:val="22"/>
          <w:szCs w:val="22"/>
        </w:rPr>
        <w:t xml:space="preserve">Temporal Coverage: </w:t>
      </w:r>
      <w:r>
        <w:rPr>
          <w:rFonts w:ascii="Calibri" w:cs="Calibri" w:eastAsia="Calibri" w:hAnsi="Calibri"/>
          <w:sz w:val="22"/>
          <w:szCs w:val="22"/>
        </w:rPr>
        <w:t xml:space="preserve">2015–2023 (9 years), chosen to balance data availability across all indicators with a sufficient time horizon for trend analysis.</w:t>
      </w:r>
    </w:p>
    <w:p>
      <w:pPr>
        <w:spacing w:after="120" w:line="276"/>
      </w:pPr>
      <w:r>
        <w:rPr>
          <w:rFonts w:ascii="Calibri" w:cs="Calibri" w:eastAsia="Calibri" w:hAnsi="Calibri"/>
          <w:b/>
          <w:bCs/>
          <w:sz w:val="22"/>
          <w:szCs w:val="22"/>
        </w:rPr>
        <w:t xml:space="preserve">Target Journals: </w:t>
      </w:r>
      <w:r>
        <w:rPr>
          <w:rFonts w:ascii="Calibri" w:cs="Calibri" w:eastAsia="Calibri" w:hAnsi="Calibri"/>
          <w:sz w:val="22"/>
          <w:szCs w:val="22"/>
        </w:rPr>
        <w:t xml:space="preserve">BMJ Global Health (primary) or World Journal of Surgery (secondary).</w:t>
      </w:r>
    </w:p>
    <w:p>
      <w:pPr>
        <w:spacing w:after="120" w:line="276"/>
      </w:pPr>
      <w:r>
        <w:rPr>
          <w:rFonts w:ascii="Calibri" w:cs="Calibri" w:eastAsia="Calibri" w:hAnsi="Calibri"/>
          <w:b/>
          <w:bCs/>
          <w:sz w:val="22"/>
          <w:szCs w:val="22"/>
        </w:rPr>
        <w:t xml:space="preserve">Reporting Standards: </w:t>
      </w:r>
      <w:r>
        <w:rPr>
          <w:rFonts w:ascii="Calibri" w:cs="Calibri" w:eastAsia="Calibri" w:hAnsi="Calibri"/>
          <w:sz w:val="22"/>
          <w:szCs w:val="22"/>
        </w:rPr>
        <w:t xml:space="preserve">STROBE (observational studies) and RECORD (routinely collected data) checklists.</w:t>
      </w:r>
    </w:p>
    <w:p>
      <w:r>
        <w:br w:type="page"/>
      </w:r>
    </w:p>
    <w:p>
      <w:pPr>
        <w:pStyle w:val="Heading1"/>
        <w:spacing w:after="200" w:before="360"/>
      </w:pPr>
      <w:r>
        <w:rPr>
          <w:rFonts w:ascii="Calibri" w:cs="Calibri" w:eastAsia="Calibri" w:hAnsi="Calibri"/>
          <w:b/>
          <w:bCs/>
          <w:color w:val="01696F"/>
          <w:sz w:val="32"/>
          <w:szCs w:val="32"/>
        </w:rPr>
        <w:t xml:space="preserve">2. Data Architecture</w:t>
      </w:r>
    </w:p>
    <w:p>
      <w:pPr>
        <w:pStyle w:val="Heading2"/>
        <w:spacing w:after="140" w:before="280"/>
      </w:pPr>
      <w:r>
        <w:rPr>
          <w:rFonts w:ascii="Calibri" w:cs="Calibri" w:eastAsia="Calibri" w:hAnsi="Calibri"/>
          <w:b/>
          <w:bCs/>
          <w:color w:val="28251D"/>
          <w:sz w:val="26"/>
          <w:szCs w:val="26"/>
        </w:rPr>
        <w:t xml:space="preserve">2.1 Infrastructure</w:t>
      </w:r>
    </w:p>
    <w:p>
      <w:pPr>
        <w:spacing w:after="120" w:line="276"/>
      </w:pPr>
      <w:r>
        <w:rPr>
          <w:rFonts w:ascii="Calibri" w:cs="Calibri" w:eastAsia="Calibri" w:hAnsi="Calibri"/>
          <w:b/>
          <w:bCs/>
          <w:sz w:val="22"/>
          <w:szCs w:val="22"/>
        </w:rPr>
        <w:t xml:space="preserve">Cloud Data Warehouse: </w:t>
      </w:r>
      <w:r>
        <w:rPr>
          <w:rFonts w:ascii="Calibri" w:cs="Calibri" w:eastAsia="Calibri" w:hAnsi="Calibri"/>
          <w:sz w:val="22"/>
          <w:szCs w:val="22"/>
        </w:rPr>
        <w:t xml:space="preserve">MotherDuck (DuckDB cloud), hosted on AWS us-east-1. Database name: </w:t>
      </w:r>
      <w:r>
        <w:rPr>
          <w:rFonts w:ascii="Consolas" w:cs="Consolas" w:eastAsia="Consolas" w:hAnsi="Consolas"/>
          <w:color w:val="01696F"/>
          <w:sz w:val="22"/>
          <w:szCs w:val="22"/>
        </w:rPr>
        <w:t xml:space="preserve">icskg_br</w:t>
      </w:r>
      <w:r>
        <w:rPr>
          <w:rFonts w:ascii="Calibri" w:cs="Calibri" w:eastAsia="Calibri" w:hAnsi="Calibri"/>
          <w:sz w:val="22"/>
          <w:szCs w:val="22"/>
        </w:rPr>
        <w:t xml:space="preserve">. MotherDuck provides persistent, serverless SQL access to the full dataset with zero infrastructure management.</w:t>
      </w:r>
    </w:p>
    <w:p>
      <w:pPr>
        <w:spacing w:after="120" w:line="276"/>
      </w:pPr>
      <w:r>
        <w:rPr>
          <w:rFonts w:ascii="Calibri" w:cs="Calibri" w:eastAsia="Calibri" w:hAnsi="Calibri"/>
          <w:b/>
          <w:bCs/>
          <w:sz w:val="22"/>
          <w:szCs w:val="22"/>
        </w:rPr>
        <w:t xml:space="preserve">GitHub Repository: </w:t>
      </w:r>
      <w:r>
        <w:rPr>
          <w:rFonts w:ascii="Calibri" w:cs="Calibri" w:eastAsia="Calibri" w:hAnsi="Calibri"/>
          <w:sz w:val="22"/>
          <w:szCs w:val="22"/>
        </w:rPr>
        <w:t xml:space="preserve">github.com/matheus-rech/ICSKG-BR (private). Contains all ETL scripts, analysis pipeline, and documentation.</w:t>
      </w:r>
    </w:p>
    <w:p>
      <w:pPr>
        <w:spacing w:after="120" w:line="276"/>
      </w:pPr>
      <w:r>
        <w:rPr>
          <w:rFonts w:ascii="Calibri" w:cs="Calibri" w:eastAsia="Calibri" w:hAnsi="Calibri"/>
          <w:b/>
          <w:bCs/>
          <w:sz w:val="22"/>
          <w:szCs w:val="22"/>
        </w:rPr>
        <w:t xml:space="preserve">Local Storage: </w:t>
      </w:r>
      <w:r>
        <w:rPr>
          <w:rFonts w:ascii="Calibri" w:cs="Calibri" w:eastAsia="Calibri" w:hAnsi="Calibri"/>
          <w:sz w:val="22"/>
          <w:szCs w:val="22"/>
        </w:rPr>
        <w:t xml:space="preserve">NAS with complete SIH/CNES raw data (all 12 months × 9 years × 27 states). This raw archive ensures full reproducibility from the original DATASUS FTP files.</w:t>
      </w:r>
    </w:p>
    <w:p>
      <w:pPr>
        <w:pStyle w:val="Heading2"/>
        <w:spacing w:after="140" w:before="280"/>
      </w:pPr>
      <w:r>
        <w:rPr>
          <w:rFonts w:ascii="Calibri" w:cs="Calibri" w:eastAsia="Calibri" w:hAnsi="Calibri"/>
          <w:b/>
          <w:bCs/>
          <w:color w:val="28251D"/>
          <w:sz w:val="26"/>
          <w:szCs w:val="26"/>
        </w:rPr>
        <w:t xml:space="preserve">2.2 Database Tables</w:t>
      </w:r>
    </w:p>
    <w:p>
      <w:pPr>
        <w:spacing w:after="120" w:line="276"/>
      </w:pPr>
      <w:r>
        <w:rPr>
          <w:rFonts w:ascii="Calibri" w:cs="Calibri" w:eastAsia="Calibri" w:hAnsi="Calibri"/>
          <w:sz w:val="22"/>
          <w:szCs w:val="22"/>
        </w:rPr>
        <w:t xml:space="preserve">The following table catalogs all tables currently loaded in the MotherDuck warehouse: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2800"/>
        <w:gridCol w:w="2160"/>
        <w:gridCol w:w="1700"/>
      </w:tblGrid>
      <w:tr>
        <w:trPr>
          <w:tblHeader/>
        </w:trPr>
        <w:tc>
          <w:tcPr>
            <w:tcW w:type="dxa" w:w="17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Table</w:t>
            </w:r>
          </w:p>
        </w:tc>
        <w:tc>
          <w:tcPr>
            <w:tcW w:type="dxa" w:w="10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Rows</w:t>
            </w:r>
          </w:p>
        </w:tc>
        <w:tc>
          <w:tcPr>
            <w:tcW w:type="dxa" w:w="28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Description</w:t>
            </w:r>
          </w:p>
        </w:tc>
        <w:tc>
          <w:tcPr>
            <w:tcW w:type="dxa" w:w="216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Source</w:t>
            </w:r>
          </w:p>
        </w:tc>
        <w:tc>
          <w:tcPr>
            <w:tcW w:type="dxa" w:w="17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Coverage</w:t>
            </w:r>
          </w:p>
        </w:tc>
      </w:tr>
      <w:tr>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municipalities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5,571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Master table: coordinates, region, population, area</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IBGE</w:t>
            </w:r>
          </w:p>
        </w:tc>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Static (2023)</w:t>
            </w:r>
          </w:p>
        </w:tc>
      </w:tr>
      <w:tr>
        <w:tc>
          <w:tcPr>
            <w:tcW w:type="dxa" w:w="17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population</w:t>
            </w:r>
          </w:p>
        </w:tc>
        <w:tc>
          <w:tcPr>
            <w:tcW w:type="dxa" w:w="10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50,130</w:t>
            </w:r>
          </w:p>
        </w:tc>
        <w:tc>
          <w:tcPr>
            <w:tcW w:type="dxa" w:w="2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Annual population estimates by municipality</w:t>
            </w:r>
          </w:p>
        </w:tc>
        <w:tc>
          <w:tcPr>
            <w:tcW w:type="dxa" w:w="21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IBGE SIDRA Table 6579</w:t>
            </w:r>
          </w:p>
        </w:tc>
        <w:tc>
          <w:tcPr>
            <w:tcW w:type="dxa" w:w="17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2015–2023</w:t>
            </w:r>
          </w:p>
        </w:tc>
      </w:tr>
      <w:tr>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gdp</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50,130</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GDP total and per capita by municipality</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IBGE SIDRA Table 5938</w:t>
            </w:r>
          </w:p>
        </w:tc>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2015–2023</w:t>
            </w:r>
          </w:p>
        </w:tc>
      </w:tr>
      <w:tr>
        <w:tc>
          <w:tcPr>
            <w:tcW w:type="dxa" w:w="17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sih_municipal</w:t>
            </w:r>
          </w:p>
        </w:tc>
        <w:tc>
          <w:tcPr>
            <w:tcW w:type="dxa" w:w="10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50,170</w:t>
            </w:r>
          </w:p>
        </w:tc>
        <w:tc>
          <w:tcPr>
            <w:tcW w:type="dxa" w:w="2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Aggregated surgical procedures (Dec snapshots)</w:t>
            </w:r>
          </w:p>
        </w:tc>
        <w:tc>
          <w:tcPr>
            <w:tcW w:type="dxa" w:w="21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DATASUS SIH/SUS</w:t>
            </w:r>
          </w:p>
        </w:tc>
        <w:tc>
          <w:tcPr>
            <w:tcW w:type="dxa" w:w="17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2015–2023</w:t>
            </w:r>
          </w:p>
        </w:tc>
      </w:tr>
      <w:tr>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sih_raw</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~19.3M</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Individual hospital admission records (partial)</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DATASUS SIH via PySUS</w:t>
            </w:r>
          </w:p>
        </w:tc>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2022–2023 partial</w:t>
            </w:r>
          </w:p>
        </w:tc>
      </w:tr>
      <w:tr>
        <w:tc>
          <w:tcPr>
            <w:tcW w:type="dxa" w:w="17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sao_workforce</w:t>
            </w:r>
          </w:p>
        </w:tc>
        <w:tc>
          <w:tcPr>
            <w:tcW w:type="dxa" w:w="10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49,753</w:t>
            </w:r>
          </w:p>
        </w:tc>
        <w:tc>
          <w:tcPr>
            <w:tcW w:type="dxa" w:w="2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SAO professional counts (Dec snapshots)</w:t>
            </w:r>
          </w:p>
        </w:tc>
        <w:tc>
          <w:tcPr>
            <w:tcW w:type="dxa" w:w="21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DATASUS CNES via PySUS</w:t>
            </w:r>
          </w:p>
        </w:tc>
        <w:tc>
          <w:tcPr>
            <w:tcW w:type="dxa" w:w="17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2015–2023</w:t>
            </w:r>
          </w:p>
        </w:tc>
      </w:tr>
      <w:tr>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cnes_professionals_raw</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218,461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Individual professional records (partial)</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DATASUS CNES</w:t>
            </w:r>
          </w:p>
        </w:tc>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Dec 2023 SP only</w:t>
            </w:r>
          </w:p>
        </w:tc>
      </w:tr>
      <w:tr>
        <w:tc>
          <w:tcPr>
            <w:tcW w:type="dxa" w:w="17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lcogs1_access</w:t>
            </w:r>
          </w:p>
        </w:tc>
        <w:tc>
          <w:tcPr>
            <w:tcW w:type="dxa" w:w="10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5,571</w:t>
            </w:r>
          </w:p>
        </w:tc>
        <w:tc>
          <w:tcPr>
            <w:tcW w:type="dxa" w:w="2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Geospatial bellwether access metrics</w:t>
            </w:r>
          </w:p>
        </w:tc>
        <w:tc>
          <w:tcPr>
            <w:tcW w:type="dxa" w:w="21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CNES + haversine calc</w:t>
            </w:r>
          </w:p>
        </w:tc>
        <w:tc>
          <w:tcPr>
            <w:tcW w:type="dxa" w:w="17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Static</w:t>
            </w:r>
          </w:p>
        </w:tc>
      </w:tr>
      <w:tr>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bellwether_hospitals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765</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Bellwether-capable hospitals with geocoordinates</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CNES API</w:t>
            </w:r>
          </w:p>
        </w:tc>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Static</w:t>
            </w:r>
          </w:p>
        </w:tc>
      </w:tr>
      <w:tr>
        <w:tc>
          <w:tcPr>
            <w:tcW w:type="dxa" w:w="17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ifgf</w:t>
            </w:r>
          </w:p>
        </w:tc>
        <w:tc>
          <w:tcPr>
            <w:tcW w:type="dxa" w:w="10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50,112</w:t>
            </w:r>
          </w:p>
        </w:tc>
        <w:tc>
          <w:tcPr>
            <w:tcW w:type="dxa" w:w="2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FIRJAN fiscal governance index (5 sub-indices)</w:t>
            </w:r>
          </w:p>
        </w:tc>
        <w:tc>
          <w:tcPr>
            <w:tcW w:type="dxa" w:w="21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FIRJAN IFGF 2025</w:t>
            </w:r>
          </w:p>
        </w:tc>
        <w:tc>
          <w:tcPr>
            <w:tcW w:type="dxa" w:w="17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2015–2023</w:t>
            </w:r>
          </w:p>
        </w:tc>
      </w:tr>
      <w:tr>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idhm</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5,564</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Municipal Human Development Index (4 indices)</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Atlas Brasil / IPEA Data</w:t>
            </w:r>
          </w:p>
        </w:tc>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2010 Census</w:t>
            </w:r>
          </w:p>
        </w:tc>
      </w:tr>
      <w:tr>
        <w:tc>
          <w:tcPr>
            <w:tcW w:type="dxa" w:w="17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idhm_historical</w:t>
            </w:r>
          </w:p>
        </w:tc>
        <w:tc>
          <w:tcPr>
            <w:tcW w:type="dxa" w:w="10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16,692</w:t>
            </w:r>
          </w:p>
        </w:tc>
        <w:tc>
          <w:tcPr>
            <w:tcW w:type="dxa" w:w="2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IDHM for 1991, 2000, 2010</w:t>
            </w:r>
          </w:p>
        </w:tc>
        <w:tc>
          <w:tcPr>
            <w:tcW w:type="dxa" w:w="21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Atlas Brasil / IPEA Data</w:t>
            </w:r>
          </w:p>
        </w:tc>
        <w:tc>
          <w:tcPr>
            <w:tcW w:type="dxa" w:w="17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1991, 2000, 2010</w:t>
            </w:r>
          </w:p>
        </w:tc>
      </w:tr>
      <w:tr>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ans_cobertura</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5,594</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Private health insurance coverage</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ANS TabNet</w:t>
            </w:r>
          </w:p>
        </w:tc>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Dec 2023</w:t>
            </w:r>
          </w:p>
        </w:tc>
      </w:tr>
      <w:tr>
        <w:tc>
          <w:tcPr>
            <w:tcW w:type="dxa" w:w="17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censo2022_saneamento</w:t>
            </w:r>
          </w:p>
        </w:tc>
        <w:tc>
          <w:tcPr>
            <w:tcW w:type="dxa" w:w="10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5,570</w:t>
            </w:r>
          </w:p>
        </w:tc>
        <w:tc>
          <w:tcPr>
            <w:tcW w:type="dxa" w:w="2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Sanitation: esgoto %, água %</w:t>
            </w:r>
          </w:p>
        </w:tc>
        <w:tc>
          <w:tcPr>
            <w:tcW w:type="dxa" w:w="21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IBGE Census 2022 API</w:t>
            </w:r>
          </w:p>
        </w:tc>
        <w:tc>
          <w:tcPr>
            <w:tcW w:type="dxa" w:w="17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2022</w:t>
            </w:r>
          </w:p>
        </w:tc>
      </w:tr>
      <w:tr>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mobility</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5,535</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Vehicle fleet per 1,000 inhabitants</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RENAVAM / transportes.gov.br</w:t>
            </w:r>
          </w:p>
        </w:tc>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Dec 2022</w:t>
            </w:r>
          </w:p>
        </w:tc>
      </w:tr>
      <w:tr>
        <w:tc>
          <w:tcPr>
            <w:tcW w:type="dxa" w:w="17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frota_veiculos</w:t>
            </w:r>
          </w:p>
        </w:tc>
        <w:tc>
          <w:tcPr>
            <w:tcW w:type="dxa" w:w="10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5,571</w:t>
            </w:r>
          </w:p>
        </w:tc>
        <w:tc>
          <w:tcPr>
            <w:tcW w:type="dxa" w:w="2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Raw vehicle counts by municipality</w:t>
            </w:r>
          </w:p>
        </w:tc>
        <w:tc>
          <w:tcPr>
            <w:tcW w:type="dxa" w:w="21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RENAVAM</w:t>
            </w:r>
          </w:p>
        </w:tc>
        <w:tc>
          <w:tcPr>
            <w:tcW w:type="dxa" w:w="17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Dec 2022</w:t>
            </w:r>
          </w:p>
        </w:tc>
      </w:tr>
      <w:tr>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national_indicators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51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WHO/WB/UNDP country-level benchmarks</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WHO GHO, WB WDI, UNDP HDR</w:t>
            </w:r>
          </w:p>
        </w:tc>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Various</w:t>
            </w:r>
          </w:p>
        </w:tc>
      </w:tr>
      <w:tr>
        <w:tc>
          <w:tcPr>
            <w:tcW w:type="dxa" w:w="17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pipeline_log</w:t>
            </w:r>
          </w:p>
        </w:tc>
        <w:tc>
          <w:tcPr>
            <w:tcW w:type="dxa" w:w="10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490</w:t>
            </w:r>
          </w:p>
        </w:tc>
        <w:tc>
          <w:tcPr>
            <w:tcW w:type="dxa" w:w="2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ETL task tracking for resumability</w:t>
            </w:r>
          </w:p>
        </w:tc>
        <w:tc>
          <w:tcPr>
            <w:tcW w:type="dxa" w:w="21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Internal</w:t>
            </w:r>
          </w:p>
        </w:tc>
        <w:tc>
          <w:tcPr>
            <w:tcW w:type="dxa" w:w="17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Ongoing</w:t>
            </w:r>
          </w:p>
        </w:tc>
      </w:tr>
    </w:tbl>
    <w:p>
      <w:pPr>
        <w:spacing w:after="60"/>
      </w:pPr>
    </w:p>
    <w:p>
      <w:pPr>
        <w:pStyle w:val="Heading2"/>
        <w:spacing w:after="140" w:before="280"/>
      </w:pPr>
      <w:r>
        <w:rPr>
          <w:rFonts w:ascii="Calibri" w:cs="Calibri" w:eastAsia="Calibri" w:hAnsi="Calibri"/>
          <w:b/>
          <w:bCs/>
          <w:color w:val="28251D"/>
          <w:sz w:val="26"/>
          <w:szCs w:val="26"/>
        </w:rPr>
        <w:t xml:space="preserve">2.3 Database Views</w:t>
      </w:r>
    </w:p>
    <w:p>
      <w:pPr>
        <w:spacing w:after="120" w:line="276"/>
      </w:pPr>
      <w:r>
        <w:rPr>
          <w:rFonts w:ascii="Calibri" w:cs="Calibri" w:eastAsia="Calibri" w:hAnsi="Calibri"/>
          <w:sz w:val="22"/>
          <w:szCs w:val="22"/>
        </w:rPr>
        <w:t xml:space="preserve">The following SQL views provide pre-joined, analysis-ready datasets: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View</w:t>
            </w:r>
          </w:p>
        </w:tc>
        <w:tc>
          <w:tcPr>
            <w:tcW w:type="dxa" w:w="456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Description</w:t>
            </w:r>
          </w:p>
        </w:tc>
        <w:tc>
          <w:tcPr>
            <w:tcW w:type="dxa" w:w="26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Primary Use</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v_lcogs_panel</w:t>
            </w:r>
          </w:p>
        </w:tc>
        <w:tc>
          <w:tcPr>
            <w:tcW w:type="dxa" w:w="4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Full municipality-year panel with all LCoGS indicators and CUDS dimensions</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Primary analysis dataset</w:t>
            </w:r>
          </w:p>
        </w:tc>
      </w:tr>
      <w:tr>
        <w:tc>
          <w:tcPr>
            <w:tcW w:type="dxa" w:w="2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v_lcogs_latest</w:t>
            </w:r>
          </w:p>
        </w:tc>
        <w:tc>
          <w:tcPr>
            <w:tcW w:type="dxa" w:w="45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Latest year snapshot (2023) of the panel</w:t>
            </w:r>
          </w:p>
        </w:tc>
        <w:tc>
          <w:tcPr>
            <w:tcW w:type="dxa" w:w="26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Cross-sectional analysis</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v_lcogs_summary</w:t>
            </w:r>
          </w:p>
        </w:tc>
        <w:tc>
          <w:tcPr>
            <w:tcW w:type="dxa" w:w="4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Regional and national summary statistics</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Descriptive tables</w:t>
            </w:r>
          </w:p>
        </w:tc>
      </w:tr>
      <w:tr>
        <w:tc>
          <w:tcPr>
            <w:tcW w:type="dxa" w:w="2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v_sao_annual</w:t>
            </w:r>
          </w:p>
        </w:tc>
        <w:tc>
          <w:tcPr>
            <w:tcW w:type="dxa" w:w="45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SAO workforce annual aggregates</w:t>
            </w:r>
          </w:p>
        </w:tc>
        <w:tc>
          <w:tcPr>
            <w:tcW w:type="dxa" w:w="26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Workforce trend analysis</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v_sih_annual</w:t>
            </w:r>
          </w:p>
        </w:tc>
        <w:tc>
          <w:tcPr>
            <w:tcW w:type="dxa" w:w="4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SIH surgical procedure annual aggregates</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Surgical volume trends</w:t>
            </w:r>
          </w:p>
        </w:tc>
      </w:tr>
    </w:tbl>
    <w:p>
      <w:r>
        <w:br w:type="page"/>
      </w:r>
    </w:p>
    <w:p>
      <w:pPr>
        <w:pStyle w:val="Heading1"/>
        <w:spacing w:after="200" w:before="360"/>
      </w:pPr>
      <w:r>
        <w:rPr>
          <w:rFonts w:ascii="Calibri" w:cs="Calibri" w:eastAsia="Calibri" w:hAnsi="Calibri"/>
          <w:b/>
          <w:bCs/>
          <w:color w:val="01696F"/>
          <w:sz w:val="32"/>
          <w:szCs w:val="32"/>
        </w:rPr>
        <w:t xml:space="preserve">3. CIMI Dimension Mapping</w:t>
      </w:r>
    </w:p>
    <w:p>
      <w:pPr>
        <w:spacing w:after="120" w:line="276"/>
      </w:pPr>
      <w:r>
        <w:rPr>
          <w:rFonts w:ascii="Calibri" w:cs="Calibri" w:eastAsia="Calibri" w:hAnsi="Calibri"/>
          <w:sz w:val="22"/>
          <w:szCs w:val="22"/>
        </w:rPr>
        <w:t xml:space="preserve">The IESE Cities in Motion Index (CIMI) framework comprises 10 dimensions of urban development. The ICSKG-BR study successfully operationalizes 9 of 10 dimensions using publicly available Brazilian data sources. The mapping below documents each dimension, its proxy indicator, data source, and coverage.</w:t>
      </w:r>
    </w:p>
    <w:p>
      <w:pPr>
        <w:pStyle w:val="Heading2"/>
        <w:spacing w:after="140" w:before="280"/>
      </w:pPr>
      <w:r>
        <w:rPr>
          <w:rFonts w:ascii="Calibri" w:cs="Calibri" w:eastAsia="Calibri" w:hAnsi="Calibri"/>
          <w:b/>
          <w:bCs/>
          <w:color w:val="28251D"/>
          <w:sz w:val="26"/>
          <w:szCs w:val="26"/>
        </w:rPr>
        <w:t xml:space="preserve">3.1 Complete Dimension Map (9/9 Achieved)</w:t>
      </w:r>
    </w:p>
    <w:p>
      <w:pPr>
        <w:spacing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800"/>
        <w:gridCol w:w="1200"/>
        <w:gridCol w:w="1600"/>
        <w:gridCol w:w="1060"/>
        <w:gridCol w:w="1100"/>
      </w:tblGrid>
      <w:tr>
        <w:trPr>
          <w:tblHeader/>
        </w:trPr>
        <w:tc>
          <w:tcPr>
            <w:tcW w:type="dxa" w:w="4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w:t>
            </w:r>
          </w:p>
        </w:tc>
        <w:tc>
          <w:tcPr>
            <w:tcW w:type="dxa" w:w="12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CIMI Dimension</w:t>
            </w:r>
          </w:p>
        </w:tc>
        <w:tc>
          <w:tcPr>
            <w:tcW w:type="dxa" w:w="18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Indicator(s)</w:t>
            </w:r>
          </w:p>
        </w:tc>
        <w:tc>
          <w:tcPr>
            <w:tcW w:type="dxa" w:w="12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Source</w:t>
            </w:r>
          </w:p>
        </w:tc>
        <w:tc>
          <w:tcPr>
            <w:tcW w:type="dxa" w:w="16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Table</w:t>
            </w:r>
          </w:p>
        </w:tc>
        <w:tc>
          <w:tcPr>
            <w:tcW w:type="dxa" w:w="106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Type</w:t>
            </w:r>
          </w:p>
        </w:tc>
        <w:tc>
          <w:tcPr>
            <w:tcW w:type="dxa" w:w="11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Coverage</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Economy</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log(GDP per capita)</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IBGE SIDRA</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gdp</w:t>
            </w:r>
          </w:p>
        </w:tc>
        <w:tc>
          <w:tcPr>
            <w:tcW w:type="dxa" w:w="10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Annual panel</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5,570 × 9 yrs</w:t>
            </w:r>
          </w:p>
        </w:tc>
      </w:tr>
      <w:tr>
        <w:tc>
          <w:tcPr>
            <w:tcW w:type="dxa" w:w="4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2</w:t>
            </w:r>
          </w:p>
        </w:tc>
        <w:tc>
          <w:tcPr>
            <w:tcW w:type="dxa" w:w="1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Technology</w:t>
            </w:r>
          </w:p>
        </w:tc>
        <w:tc>
          <w:tcPr>
            <w:tcW w:type="dxa" w:w="1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log(pop. density) as proxy</w:t>
            </w:r>
          </w:p>
        </w:tc>
        <w:tc>
          <w:tcPr>
            <w:tcW w:type="dxa" w:w="1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IBGE</w:t>
            </w:r>
          </w:p>
        </w:tc>
        <w:tc>
          <w:tcPr>
            <w:tcW w:type="dxa" w:w="16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municipalities</w:t>
            </w:r>
          </w:p>
        </w:tc>
        <w:tc>
          <w:tcPr>
            <w:tcW w:type="dxa" w:w="10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Static proxy</w:t>
            </w:r>
          </w:p>
        </w:tc>
        <w:tc>
          <w:tcPr>
            <w:tcW w:type="dxa" w:w="11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5,571</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Human Capital</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IDHM-Educação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Atlas Brasil/IPEA</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idhm</w:t>
            </w:r>
          </w:p>
        </w:tc>
        <w:tc>
          <w:tcPr>
            <w:tcW w:type="dxa" w:w="10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Static (2010)</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5,564</w:t>
            </w:r>
          </w:p>
        </w:tc>
      </w:tr>
      <w:tr>
        <w:tc>
          <w:tcPr>
            <w:tcW w:type="dxa" w:w="4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4</w:t>
            </w:r>
          </w:p>
        </w:tc>
        <w:tc>
          <w:tcPr>
            <w:tcW w:type="dxa" w:w="1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Social Cohesion</w:t>
            </w:r>
          </w:p>
        </w:tc>
        <w:tc>
          <w:tcPr>
            <w:tcW w:type="dxa" w:w="1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IDHM composite</w:t>
            </w:r>
          </w:p>
        </w:tc>
        <w:tc>
          <w:tcPr>
            <w:tcW w:type="dxa" w:w="1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Atlas Brasil/IPEA</w:t>
            </w:r>
          </w:p>
        </w:tc>
        <w:tc>
          <w:tcPr>
            <w:tcW w:type="dxa" w:w="16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idhm</w:t>
            </w:r>
          </w:p>
        </w:tc>
        <w:tc>
          <w:tcPr>
            <w:tcW w:type="dxa" w:w="10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Static (2010)</w:t>
            </w:r>
          </w:p>
        </w:tc>
        <w:tc>
          <w:tcPr>
            <w:tcW w:type="dxa" w:w="11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5,564</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5</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Urban Planning</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log(pop. density), area_km2</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IBGE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municipalities</w:t>
            </w:r>
          </w:p>
        </w:tc>
        <w:tc>
          <w:tcPr>
            <w:tcW w:type="dxa" w:w="10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Static</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5,571</w:t>
            </w:r>
          </w:p>
        </w:tc>
      </w:tr>
      <w:tr>
        <w:tc>
          <w:tcPr>
            <w:tcW w:type="dxa" w:w="4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6</w:t>
            </w:r>
          </w:p>
        </w:tc>
        <w:tc>
          <w:tcPr>
            <w:tcW w:type="dxa" w:w="1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Governance</w:t>
            </w:r>
          </w:p>
        </w:tc>
        <w:tc>
          <w:tcPr>
            <w:tcW w:type="dxa" w:w="1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IFGF Geral (fiscal governance)</w:t>
            </w:r>
          </w:p>
        </w:tc>
        <w:tc>
          <w:tcPr>
            <w:tcW w:type="dxa" w:w="1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FIRJAN</w:t>
            </w:r>
          </w:p>
        </w:tc>
        <w:tc>
          <w:tcPr>
            <w:tcW w:type="dxa" w:w="16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ifgf</w:t>
            </w:r>
          </w:p>
        </w:tc>
        <w:tc>
          <w:tcPr>
            <w:tcW w:type="dxa" w:w="10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Annual panel</w:t>
            </w:r>
          </w:p>
        </w:tc>
        <w:tc>
          <w:tcPr>
            <w:tcW w:type="dxa" w:w="11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5,564 × 9 yrs</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7</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Health Infra.</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log(SAO density), bellwether count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CNES/DATASUS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sao_workforce + lcogs1_access</w:t>
            </w:r>
          </w:p>
        </w:tc>
        <w:tc>
          <w:tcPr>
            <w:tcW w:type="dxa" w:w="10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Annual + static</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5,571</w:t>
            </w:r>
          </w:p>
        </w:tc>
      </w:tr>
      <w:tr>
        <w:tc>
          <w:tcPr>
            <w:tcW w:type="dxa" w:w="4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8</w:t>
            </w:r>
          </w:p>
        </w:tc>
        <w:tc>
          <w:tcPr>
            <w:tcW w:type="dxa" w:w="1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Environment</w:t>
            </w:r>
          </w:p>
        </w:tc>
        <w:tc>
          <w:tcPr>
            <w:tcW w:type="dxa" w:w="1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Esgoto adequado %</w:t>
            </w:r>
          </w:p>
        </w:tc>
        <w:tc>
          <w:tcPr>
            <w:tcW w:type="dxa" w:w="1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IBGE Census 2022</w:t>
            </w:r>
          </w:p>
        </w:tc>
        <w:tc>
          <w:tcPr>
            <w:tcW w:type="dxa" w:w="16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censo2022_saneamento</w:t>
            </w:r>
          </w:p>
        </w:tc>
        <w:tc>
          <w:tcPr>
            <w:tcW w:type="dxa" w:w="10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Static (2022)</w:t>
            </w:r>
          </w:p>
        </w:tc>
        <w:tc>
          <w:tcPr>
            <w:tcW w:type="dxa" w:w="11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5,570</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9</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Mobility</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Veículos per 1,000 hab</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RENAVAM</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mobility</w:t>
            </w:r>
          </w:p>
        </w:tc>
        <w:tc>
          <w:tcPr>
            <w:tcW w:type="dxa" w:w="10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Static (2022)</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5,535</w:t>
            </w:r>
          </w:p>
        </w:tc>
      </w:tr>
      <w:tr>
        <w:tc>
          <w:tcPr>
            <w:tcW w:type="dxa" w:w="4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w:t>
            </w:r>
          </w:p>
        </w:tc>
        <w:tc>
          <w:tcPr>
            <w:tcW w:type="dxa" w:w="1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SUS Dependence</w:t>
            </w:r>
          </w:p>
        </w:tc>
        <w:tc>
          <w:tcPr>
            <w:tcW w:type="dxa" w:w="1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100 − private coverage %</w:t>
            </w:r>
          </w:p>
        </w:tc>
        <w:tc>
          <w:tcPr>
            <w:tcW w:type="dxa" w:w="1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ANS TabNet</w:t>
            </w:r>
          </w:p>
        </w:tc>
        <w:tc>
          <w:tcPr>
            <w:tcW w:type="dxa" w:w="16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ans_cobertura</w:t>
            </w:r>
          </w:p>
        </w:tc>
        <w:tc>
          <w:tcPr>
            <w:tcW w:type="dxa" w:w="10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Static (2023)</w:t>
            </w:r>
          </w:p>
        </w:tc>
        <w:tc>
          <w:tcPr>
            <w:tcW w:type="dxa" w:w="11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5,594</w:t>
            </w:r>
          </w:p>
        </w:tc>
      </w:tr>
    </w:tbl>
    <w:p>
      <w:pPr>
        <w:spacing w:after="60"/>
      </w:pPr>
    </w:p>
    <w:p>
      <w:pPr>
        <w:pStyle w:val="Heading2"/>
        <w:spacing w:after="140" w:before="280"/>
      </w:pPr>
      <w:r>
        <w:rPr>
          <w:rFonts w:ascii="Calibri" w:cs="Calibri" w:eastAsia="Calibri" w:hAnsi="Calibri"/>
          <w:b/>
          <w:bCs/>
          <w:color w:val="28251D"/>
          <w:sz w:val="26"/>
          <w:szCs w:val="26"/>
        </w:rPr>
        <w:t xml:space="preserve">3.2 Missing Dimension</w:t>
      </w:r>
    </w:p>
    <w:p>
      <w:pPr>
        <w:spacing w:after="120" w:line="276"/>
      </w:pPr>
      <w:r>
        <w:rPr>
          <w:rFonts w:ascii="Calibri" w:cs="Calibri" w:eastAsia="Calibri" w:hAnsi="Calibri"/>
          <w:b/>
          <w:bCs/>
          <w:sz w:val="22"/>
          <w:szCs w:val="22"/>
        </w:rPr>
        <w:t xml:space="preserve">International Projection </w:t>
      </w:r>
      <w:r>
        <w:rPr>
          <w:rFonts w:ascii="Calibri" w:cs="Calibri" w:eastAsia="Calibri" w:hAnsi="Calibri"/>
          <w:sz w:val="22"/>
          <w:szCs w:val="22"/>
        </w:rPr>
        <w:t xml:space="preserve">(CIMI dimension 10) is the only dimension not operationalized. This dimension measures international connectivity through indicators such as international flights, foreign embassies, and international conferences — metrics that are irrelevant at the municipal level for 99% of Brazilian municipalities and least relevant for surgical outcomes. This is a documented limitation discussed in the manuscript.</w:t>
      </w:r>
    </w:p>
    <w:p>
      <w:pPr>
        <w:pStyle w:val="Heading2"/>
        <w:spacing w:after="140" w:before="280"/>
      </w:pPr>
      <w:r>
        <w:rPr>
          <w:rFonts w:ascii="Calibri" w:cs="Calibri" w:eastAsia="Calibri" w:hAnsi="Calibri"/>
          <w:b/>
          <w:bCs/>
          <w:color w:val="28251D"/>
          <w:sz w:val="26"/>
          <w:szCs w:val="26"/>
        </w:rPr>
        <w:t xml:space="preserve">3.3 Composite Urban Development Score (CUDS)</w:t>
      </w:r>
    </w:p>
    <w:p>
      <w:pPr>
        <w:spacing w:after="120" w:line="276"/>
      </w:pPr>
      <w:r>
        <w:rPr>
          <w:rFonts w:ascii="Calibri" w:cs="Calibri" w:eastAsia="Calibri" w:hAnsi="Calibri"/>
          <w:sz w:val="22"/>
          <w:szCs w:val="22"/>
        </w:rPr>
        <w:t xml:space="preserve">The CUDS is computed as the geometric mean of all 9 dimension scores after min-max normalization to [0, 1] range within each year. The geometric mean is preferred over the arithmetic mean because it penalizes extreme imbalance across dimensions — a municipality must perform adequately across all dimensions to achieve a high CUDS, reflecting the multi-dimensional nature of urban development.</w:t>
      </w:r>
    </w:p>
    <w:p>
      <w:pPr>
        <w:spacing w:after="120" w:line="276"/>
      </w:pPr>
      <w:r>
        <w:rPr>
          <w:rFonts w:ascii="Calibri" w:cs="Calibri" w:eastAsia="Calibri" w:hAnsi="Calibri"/>
          <w:b/>
          <w:bCs/>
          <w:sz w:val="22"/>
          <w:szCs w:val="22"/>
        </w:rPr>
        <w:t xml:space="preserve">Formula: </w:t>
      </w:r>
      <w:r>
        <w:rPr>
          <w:rFonts w:ascii="Calibri" w:cs="Calibri" w:eastAsia="Calibri" w:hAnsi="Calibri"/>
          <w:sz w:val="22"/>
          <w:szCs w:val="22"/>
        </w:rPr>
        <w:t xml:space="preserve">CUDS = (D₁ × D₂ × D₃ × ... × D₉)^(1/9), where Dᵢ is the min-max normalized score for dimension i.</w:t>
      </w:r>
    </w:p>
    <w:p>
      <w:r>
        <w:br w:type="page"/>
      </w:r>
    </w:p>
    <w:p>
      <w:pPr>
        <w:pStyle w:val="Heading1"/>
        <w:spacing w:after="200" w:before="360"/>
      </w:pPr>
      <w:r>
        <w:rPr>
          <w:rFonts w:ascii="Calibri" w:cs="Calibri" w:eastAsia="Calibri" w:hAnsi="Calibri"/>
          <w:b/>
          <w:bCs/>
          <w:color w:val="01696F"/>
          <w:sz w:val="32"/>
          <w:szCs w:val="32"/>
        </w:rPr>
        <w:t xml:space="preserve">4. LCoGS Indicator Computation</w:t>
      </w:r>
    </w:p>
    <w:p>
      <w:pPr>
        <w:spacing w:after="120" w:line="276"/>
      </w:pPr>
      <w:r>
        <w:rPr>
          <w:rFonts w:ascii="Calibri" w:cs="Calibri" w:eastAsia="Calibri" w:hAnsi="Calibri"/>
          <w:sz w:val="22"/>
          <w:szCs w:val="22"/>
        </w:rPr>
        <w:t xml:space="preserve">The Lancet Commission on Global Surgery (LCoGS) defined 6 core indicators to assess national surgical systems. The ICSKG-BR study adapts these indicators to the municipal level using DATASUS administrative data.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3560"/>
        <w:gridCol w:w="1700"/>
        <w:gridCol w:w="1500"/>
      </w:tblGrid>
      <w:tr>
        <w:trPr>
          <w:tblHeader/>
        </w:trPr>
        <w:tc>
          <w:tcPr>
            <w:tcW w:type="dxa" w:w="11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Indicator</w:t>
            </w:r>
          </w:p>
        </w:tc>
        <w:tc>
          <w:tcPr>
            <w:tcW w:type="dxa" w:w="15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Name</w:t>
            </w:r>
          </w:p>
        </w:tc>
        <w:tc>
          <w:tcPr>
            <w:tcW w:type="dxa" w:w="356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Computation</w:t>
            </w:r>
          </w:p>
        </w:tc>
        <w:tc>
          <w:tcPr>
            <w:tcW w:type="dxa" w:w="17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Data Source</w:t>
            </w:r>
          </w:p>
        </w:tc>
        <w:tc>
          <w:tcPr>
            <w:tcW w:type="dxa" w:w="15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Unit</w:t>
            </w:r>
          </w:p>
        </w:tc>
      </w:tr>
      <w:tr>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LCoGS-1</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2-Hour Bellwether Access</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Binary: ≥1 bellwether hospital within 150 km (haversine distance as proxy for 2-hour travel). Bellwether = surgical center + obstetric center + inpatient beds.</w:t>
            </w:r>
          </w:p>
        </w:tc>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CNES API + geocoordinates</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Binary (0/1)</w:t>
            </w:r>
          </w:p>
        </w:tc>
      </w:tr>
      <w:tr>
        <w:tc>
          <w:tcPr>
            <w:tcW w:type="dxa" w:w="11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LCoGS-2</w:t>
            </w:r>
          </w:p>
        </w:tc>
        <w:tc>
          <w:tcPr>
            <w:tcW w:type="dxa" w:w="15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SAO Density</w:t>
            </w:r>
          </w:p>
        </w:tc>
        <w:tc>
          <w:tcPr>
            <w:tcW w:type="dxa" w:w="35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Count of surgeons + anesthesiologists + obstetricians per 100,000 population. Identified by CBO codes in CNES professional registry.</w:t>
            </w:r>
          </w:p>
        </w:tc>
        <w:tc>
          <w:tcPr>
            <w:tcW w:type="dxa" w:w="17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CNES via PySUS</w:t>
            </w:r>
          </w:p>
        </w:tc>
        <w:tc>
          <w:tcPr>
            <w:tcW w:type="dxa" w:w="15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Per 100k pop</w:t>
            </w:r>
          </w:p>
        </w:tc>
      </w:tr>
      <w:tr>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LCoGS-3</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Surgical Volume</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Count of SIH surgical admissions (proc_surg = 1) per 100,000 population per year.</w:t>
            </w:r>
          </w:p>
        </w:tc>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SIH/SUS via PySUS</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Per 100k pop/yr</w:t>
            </w:r>
          </w:p>
        </w:tc>
      </w:tr>
      <w:tr>
        <w:tc>
          <w:tcPr>
            <w:tcW w:type="dxa" w:w="11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LCoGS-4</w:t>
            </w:r>
          </w:p>
        </w:tc>
        <w:tc>
          <w:tcPr>
            <w:tcW w:type="dxa" w:w="15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POMR</w:t>
            </w:r>
          </w:p>
        </w:tc>
        <w:tc>
          <w:tcPr>
            <w:tcW w:type="dxa" w:w="35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Perioperative mortality rate = (surgical deaths / surgical procedures) × 100. Deaths identified by MORTE field in SIH records.</w:t>
            </w:r>
          </w:p>
        </w:tc>
        <w:tc>
          <w:tcPr>
            <w:tcW w:type="dxa" w:w="17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SIH/SUS</w:t>
            </w:r>
          </w:p>
        </w:tc>
        <w:tc>
          <w:tcPr>
            <w:tcW w:type="dxa" w:w="15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Percentage</w:t>
            </w:r>
          </w:p>
        </w:tc>
      </w:tr>
      <w:tr>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LCoGS-5</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Financial Burden</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Ecological proxy: average SUS surgical procedure cost / municipal GDP per capita. True LCoGS-5 requires household survey data.</w:t>
            </w:r>
          </w:p>
        </w:tc>
        <w:tc>
          <w:tcPr>
            <w:tcW w:type="dxa" w:w="1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SIH + IBGE GDP</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Ratio</w:t>
            </w:r>
          </w:p>
        </w:tc>
      </w:tr>
      <w:tr>
        <w:tc>
          <w:tcPr>
            <w:tcW w:type="dxa" w:w="11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LCoGS-6</w:t>
            </w:r>
          </w:p>
        </w:tc>
        <w:tc>
          <w:tcPr>
            <w:tcW w:type="dxa" w:w="15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Catastrophic Expenditure</w:t>
            </w:r>
          </w:p>
        </w:tc>
        <w:tc>
          <w:tcPr>
            <w:tcW w:type="dxa" w:w="35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Ecological proxy: proportion of municipality-years where surgical cost exceeds 10% of GDP per capita. True LCoGS-6 requires household expenditure data.</w:t>
            </w:r>
          </w:p>
        </w:tc>
        <w:tc>
          <w:tcPr>
            <w:tcW w:type="dxa" w:w="17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SIH + IBGE GDP</w:t>
            </w:r>
          </w:p>
        </w:tc>
        <w:tc>
          <w:tcPr>
            <w:tcW w:type="dxa" w:w="15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Proportion</w:t>
            </w:r>
          </w:p>
        </w:tc>
      </w:tr>
    </w:tbl>
    <w:p>
      <w:pPr>
        <w:spacing w:after="60"/>
      </w:pPr>
    </w:p>
    <w:p>
      <w:pPr>
        <w:pStyle w:val="Heading2"/>
        <w:spacing w:after="140" w:before="280"/>
      </w:pPr>
      <w:r>
        <w:rPr>
          <w:rFonts w:ascii="Calibri" w:cs="Calibri" w:eastAsia="Calibri" w:hAnsi="Calibri"/>
          <w:b/>
          <w:bCs/>
          <w:color w:val="28251D"/>
          <w:sz w:val="26"/>
          <w:szCs w:val="26"/>
        </w:rPr>
        <w:t xml:space="preserve">4.1 Important Limitations</w:t>
      </w:r>
    </w:p>
    <w:p>
      <w:pPr>
        <w:pStyle w:val="ListParagraph"/>
        <w:numPr>
          <w:ilvl w:val="0"/>
          <w:numId w:val="2"/>
        </w:numPr>
        <w:spacing w:after="60" w:line="276"/>
      </w:pPr>
      <w:r>
        <w:rPr>
          <w:rFonts w:ascii="Calibri" w:cs="Calibri" w:eastAsia="Calibri" w:hAnsi="Calibri"/>
          <w:b/>
          <w:bCs/>
          <w:sz w:val="22"/>
          <w:szCs w:val="22"/>
        </w:rPr>
        <w:t xml:space="preserve">LCoGS-5 and LCoGS-6: </w:t>
      </w:r>
      <w:r>
        <w:rPr>
          <w:rFonts w:ascii="Calibri" w:cs="Calibri" w:eastAsia="Calibri" w:hAnsi="Calibri"/>
          <w:sz w:val="22"/>
          <w:szCs w:val="22"/>
        </w:rPr>
        <w:t xml:space="preserve">The original Lancet indicators measure out-of-pocket expenditure relative to household income. Since SUS (Brazil's universal health system) provides free-at-point-of-care surgical services, the true financial burden falls outside administrative data. Our ecological proxies using average procedure costs relative to GDP per capita capture geographic variation in economic burden but are not directly comparable to the LCoGS definitions.</w:t>
      </w:r>
    </w:p>
    <w:p>
      <w:pPr>
        <w:pStyle w:val="ListParagraph"/>
        <w:numPr>
          <w:ilvl w:val="0"/>
          <w:numId w:val="2"/>
        </w:numPr>
        <w:spacing w:after="60" w:line="276"/>
      </w:pPr>
      <w:r>
        <w:rPr>
          <w:rFonts w:ascii="Calibri" w:cs="Calibri" w:eastAsia="Calibri" w:hAnsi="Calibri"/>
          <w:b/>
          <w:bCs/>
          <w:sz w:val="22"/>
          <w:szCs w:val="22"/>
        </w:rPr>
        <w:t xml:space="preserve">December Snapshots: </w:t>
      </w:r>
      <w:r>
        <w:rPr>
          <w:rFonts w:ascii="Calibri" w:cs="Calibri" w:eastAsia="Calibri" w:hAnsi="Calibri"/>
          <w:sz w:val="22"/>
          <w:szCs w:val="22"/>
        </w:rPr>
        <w:t xml:space="preserve">Current SIH and CNES data are based on December snapshots rather than full 12-month annualized data. This introduces potential seasonal bias. The full 12-month download is in progress on the NAS and will replace the snapshot data before publication.</w:t>
      </w:r>
    </w:p>
    <w:p>
      <w:pPr>
        <w:pStyle w:val="ListParagraph"/>
        <w:numPr>
          <w:ilvl w:val="0"/>
          <w:numId w:val="2"/>
        </w:numPr>
        <w:spacing w:after="60" w:line="276"/>
      </w:pPr>
      <w:r>
        <w:rPr>
          <w:rFonts w:ascii="Calibri" w:cs="Calibri" w:eastAsia="Calibri" w:hAnsi="Calibri"/>
          <w:b/>
          <w:bCs/>
          <w:sz w:val="22"/>
          <w:szCs w:val="22"/>
        </w:rPr>
        <w:t xml:space="preserve">SIH Residence vs. Treatment: </w:t>
      </w:r>
      <w:r>
        <w:rPr>
          <w:rFonts w:ascii="Calibri" w:cs="Calibri" w:eastAsia="Calibri" w:hAnsi="Calibri"/>
          <w:sz w:val="22"/>
          <w:szCs w:val="22"/>
        </w:rPr>
        <w:t xml:space="preserve">Surgical procedures are attributed to the municipality of treatment (where the hospital is located), not the municipality of residence of the patient. This inflates volumes in referral centers and understates volumes in municipalities that export patients.</w:t>
      </w:r>
    </w:p>
    <w:p>
      <w:r>
        <w:br w:type="page"/>
      </w:r>
    </w:p>
    <w:p>
      <w:pPr>
        <w:pStyle w:val="Heading1"/>
        <w:spacing w:after="200" w:before="360"/>
      </w:pPr>
      <w:r>
        <w:rPr>
          <w:rFonts w:ascii="Calibri" w:cs="Calibri" w:eastAsia="Calibri" w:hAnsi="Calibri"/>
          <w:b/>
          <w:bCs/>
          <w:color w:val="01696F"/>
          <w:sz w:val="32"/>
          <w:szCs w:val="32"/>
        </w:rPr>
        <w:t xml:space="preserve">5. Data Acquisition Methods</w:t>
      </w:r>
    </w:p>
    <w:p>
      <w:pPr>
        <w:spacing w:after="120" w:line="276"/>
      </w:pPr>
      <w:r>
        <w:rPr>
          <w:rFonts w:ascii="Calibri" w:cs="Calibri" w:eastAsia="Calibri" w:hAnsi="Calibri"/>
          <w:sz w:val="22"/>
          <w:szCs w:val="22"/>
        </w:rPr>
        <w:t xml:space="preserve">This section documents the exact methods, endpoints, and processing steps used to acquire each data source. All data are from publicly available Brazilian government sources, accessed under Lei de Acesso à Informação (Law 12.527/2011).</w:t>
      </w:r>
    </w:p>
    <w:p>
      <w:pPr>
        <w:pStyle w:val="Heading2"/>
        <w:spacing w:after="140" w:before="280"/>
      </w:pPr>
      <w:r>
        <w:rPr>
          <w:rFonts w:ascii="Calibri" w:cs="Calibri" w:eastAsia="Calibri" w:hAnsi="Calibri"/>
          <w:b/>
          <w:bCs/>
          <w:color w:val="28251D"/>
          <w:sz w:val="26"/>
          <w:szCs w:val="26"/>
        </w:rPr>
        <w:t xml:space="preserve">5.1 IBGE SIDRA API — Population and GDP</w:t>
      </w:r>
    </w:p>
    <w:p>
      <w:pPr>
        <w:spacing w:after="120" w:line="276"/>
      </w:pPr>
      <w:r>
        <w:rPr>
          <w:rFonts w:ascii="Calibri" w:cs="Calibri" w:eastAsia="Calibri" w:hAnsi="Calibri"/>
          <w:b/>
          <w:bCs/>
          <w:sz w:val="22"/>
          <w:szCs w:val="22"/>
        </w:rPr>
        <w:t xml:space="preserve">Endpoint: </w:t>
      </w:r>
      <w:r>
        <w:rPr>
          <w:rFonts w:ascii="Calibri" w:cs="Calibri" w:eastAsia="Calibri" w:hAnsi="Calibri"/>
          <w:sz w:val="22"/>
          <w:szCs w:val="22"/>
        </w:rPr>
        <w:t xml:space="preserve">https://apisidra.ibge.gov.br/values/t/{table}/n6/all/p/all/v/all</w:t>
      </w:r>
    </w:p>
    <w:p>
      <w:pPr>
        <w:spacing w:after="120" w:line="276"/>
      </w:pPr>
      <w:r>
        <w:rPr>
          <w:rFonts w:ascii="Calibri" w:cs="Calibri" w:eastAsia="Calibri" w:hAnsi="Calibri"/>
          <w:b/>
          <w:bCs/>
          <w:sz w:val="22"/>
          <w:szCs w:val="22"/>
        </w:rPr>
        <w:t xml:space="preserve">Tables: </w:t>
      </w:r>
      <w:r>
        <w:rPr>
          <w:rFonts w:ascii="Calibri" w:cs="Calibri" w:eastAsia="Calibri" w:hAnsi="Calibri"/>
          <w:sz w:val="22"/>
          <w:szCs w:val="22"/>
        </w:rPr>
        <w:t xml:space="preserve">6579 (population estimates) and 5938 (GDP per capita and total).</w:t>
      </w:r>
    </w:p>
    <w:p>
      <w:pPr>
        <w:spacing w:after="120" w:line="276"/>
      </w:pPr>
      <w:r>
        <w:rPr>
          <w:rFonts w:ascii="Calibri" w:cs="Calibri" w:eastAsia="Calibri" w:hAnsi="Calibri"/>
          <w:b/>
          <w:bCs/>
          <w:sz w:val="22"/>
          <w:szCs w:val="22"/>
        </w:rPr>
        <w:t xml:space="preserve">Method: </w:t>
      </w:r>
      <w:r>
        <w:rPr>
          <w:rFonts w:ascii="Calibri" w:cs="Calibri" w:eastAsia="Calibri" w:hAnsi="Calibri"/>
          <w:sz w:val="22"/>
          <w:szCs w:val="22"/>
        </w:rPr>
        <w:t xml:space="preserve">HTTP GET requests batched by state (27 requests per table) to avoid API timeout. Response is JSON parsed into tabular format. Municipality codes (IBGE 7-digit) serve as the join key.</w:t>
      </w:r>
    </w:p>
    <w:p>
      <w:pPr>
        <w:spacing w:after="120" w:line="276"/>
      </w:pPr>
      <w:r>
        <w:rPr>
          <w:rFonts w:ascii="Calibri" w:cs="Calibri" w:eastAsia="Calibri" w:hAnsi="Calibri"/>
          <w:b/>
          <w:bCs/>
          <w:sz w:val="22"/>
          <w:szCs w:val="22"/>
        </w:rPr>
        <w:t xml:space="preserve">Processing: </w:t>
      </w:r>
      <w:r>
        <w:rPr>
          <w:rFonts w:ascii="Calibri" w:cs="Calibri" w:eastAsia="Calibri" w:hAnsi="Calibri"/>
          <w:sz w:val="22"/>
          <w:szCs w:val="22"/>
        </w:rPr>
        <w:t xml:space="preserve">Numeric fields extracted from string responses. Population values rounded to integers. GDP values stored as float64. Rows with null values (municipality suppressed for confidentiality) are flagged but retained with NaN.</w:t>
      </w:r>
    </w:p>
    <w:p>
      <w:pPr>
        <w:pStyle w:val="Heading2"/>
        <w:spacing w:after="140" w:before="280"/>
      </w:pPr>
      <w:r>
        <w:rPr>
          <w:rFonts w:ascii="Calibri" w:cs="Calibri" w:eastAsia="Calibri" w:hAnsi="Calibri"/>
          <w:b/>
          <w:bCs/>
          <w:color w:val="28251D"/>
          <w:sz w:val="26"/>
          <w:szCs w:val="26"/>
        </w:rPr>
        <w:t xml:space="preserve">5.2 PySUS — SIH and CNES Downloads</w:t>
      </w:r>
    </w:p>
    <w:p>
      <w:pPr>
        <w:spacing w:after="120" w:line="276"/>
      </w:pPr>
      <w:r>
        <w:rPr>
          <w:rFonts w:ascii="Calibri" w:cs="Calibri" w:eastAsia="Calibri" w:hAnsi="Calibri"/>
          <w:b/>
          <w:bCs/>
          <w:sz w:val="22"/>
          <w:szCs w:val="22"/>
        </w:rPr>
        <w:t xml:space="preserve">Library: </w:t>
      </w:r>
      <w:r>
        <w:rPr>
          <w:rFonts w:ascii="Calibri" w:cs="Calibri" w:eastAsia="Calibri" w:hAnsi="Calibri"/>
          <w:sz w:val="22"/>
          <w:szCs w:val="22"/>
        </w:rPr>
        <w:t xml:space="preserve">PySUS v1.0.1 (pip install pysus==1.0.1)</w:t>
      </w:r>
    </w:p>
    <w:p>
      <w:pPr>
        <w:spacing w:after="120" w:line="276"/>
      </w:pPr>
      <w:r>
        <w:rPr>
          <w:rFonts w:ascii="Calibri" w:cs="Calibri" w:eastAsia="Calibri" w:hAnsi="Calibri"/>
          <w:b/>
          <w:bCs/>
          <w:sz w:val="22"/>
          <w:szCs w:val="22"/>
        </w:rPr>
        <w:t xml:space="preserve">SIH Download: </w:t>
      </w:r>
      <w:r>
        <w:rPr>
          <w:rFonts w:ascii="Calibri" w:cs="Calibri" w:eastAsia="Calibri" w:hAnsi="Calibri"/>
          <w:sz w:val="22"/>
          <w:szCs w:val="22"/>
        </w:rPr>
        <w:t xml:space="preserve">pysus.online_data.SIH.download() with parameters: states=[all 27 UFs], years=[2015–2023], months=[12] (December snapshot). Downloads .dbc files from DATASUS FTP server (ftp.datasus.gov.br), auto-converts to pandas DataFrames.</w:t>
      </w:r>
    </w:p>
    <w:p>
      <w:pPr>
        <w:spacing w:after="120" w:line="276"/>
      </w:pPr>
      <w:r>
        <w:rPr>
          <w:rFonts w:ascii="Calibri" w:cs="Calibri" w:eastAsia="Calibri" w:hAnsi="Calibri"/>
          <w:b/>
          <w:bCs/>
          <w:sz w:val="22"/>
          <w:szCs w:val="22"/>
        </w:rPr>
        <w:t xml:space="preserve">CNES Download: </w:t>
      </w:r>
      <w:r>
        <w:rPr>
          <w:rFonts w:ascii="Calibri" w:cs="Calibri" w:eastAsia="Calibri" w:hAnsi="Calibri"/>
          <w:sz w:val="22"/>
          <w:szCs w:val="22"/>
        </w:rPr>
        <w:t xml:space="preserve">pysus.online_data.CNES.download() targeting the PF (Profissionais) group. Same state/year/month parameters. Professional records filtered by CBO (Classificação Brasileira de Ocupações) codes for surgeons, anesthesiologists, and obstetricians.</w:t>
      </w:r>
    </w:p>
    <w:p>
      <w:pPr>
        <w:spacing w:after="120" w:line="276"/>
      </w:pPr>
      <w:r>
        <w:rPr>
          <w:rFonts w:ascii="Calibri" w:cs="Calibri" w:eastAsia="Calibri" w:hAnsi="Calibri"/>
          <w:b/>
          <w:bCs/>
          <w:sz w:val="22"/>
          <w:szCs w:val="22"/>
        </w:rPr>
        <w:t xml:space="preserve">Key CBO Codes: </w:t>
      </w:r>
      <w:r>
        <w:rPr>
          <w:rFonts w:ascii="Calibri" w:cs="Calibri" w:eastAsia="Calibri" w:hAnsi="Calibri"/>
          <w:sz w:val="22"/>
          <w:szCs w:val="22"/>
        </w:rPr>
        <w:t xml:space="preserve">Surgeons (225250, 225260, 225275, etc.), Anesthesiologists (225110), Obstetricians (225250 with specialty filter). Full CBO mapping documented in the pipeline code.</w:t>
      </w:r>
    </w:p>
    <w:p>
      <w:pPr>
        <w:spacing w:after="120" w:line="276"/>
      </w:pPr>
      <w:r>
        <w:rPr>
          <w:rFonts w:ascii="Calibri" w:cs="Calibri" w:eastAsia="Calibri" w:hAnsi="Calibri"/>
          <w:b/>
          <w:bCs/>
          <w:sz w:val="22"/>
          <w:szCs w:val="22"/>
        </w:rPr>
        <w:t xml:space="preserve">Processing: </w:t>
      </w:r>
      <w:r>
        <w:rPr>
          <w:rFonts w:ascii="Calibri" w:cs="Calibri" w:eastAsia="Calibri" w:hAnsi="Calibri"/>
          <w:sz w:val="22"/>
          <w:szCs w:val="22"/>
        </w:rPr>
        <w:t xml:space="preserve">SIH records filtered to surgical procedures (PROC_SURG flag). Aggregated to municipality-year level: count of procedures, count of deaths, total cost. CNES records deduplicated by CPF (professional ID) within each municipality-year to avoid double-counting professionals with multiple employment links.</w:t>
      </w:r>
    </w:p>
    <w:p>
      <w:pPr>
        <w:pStyle w:val="Heading2"/>
        <w:spacing w:after="140" w:before="280"/>
      </w:pPr>
      <w:r>
        <w:rPr>
          <w:rFonts w:ascii="Calibri" w:cs="Calibri" w:eastAsia="Calibri" w:hAnsi="Calibri"/>
          <w:b/>
          <w:bCs/>
          <w:color w:val="28251D"/>
          <w:sz w:val="26"/>
          <w:szCs w:val="26"/>
        </w:rPr>
        <w:t xml:space="preserve">5.3 IPEA Data API — IDHM</w:t>
      </w:r>
    </w:p>
    <w:p>
      <w:pPr>
        <w:spacing w:after="120" w:line="276"/>
      </w:pPr>
      <w:r>
        <w:rPr>
          <w:rFonts w:ascii="Calibri" w:cs="Calibri" w:eastAsia="Calibri" w:hAnsi="Calibri"/>
          <w:b/>
          <w:bCs/>
          <w:sz w:val="22"/>
          <w:szCs w:val="22"/>
        </w:rPr>
        <w:t xml:space="preserve">Endpoint: </w:t>
      </w:r>
      <w:r>
        <w:rPr>
          <w:rFonts w:ascii="Calibri" w:cs="Calibri" w:eastAsia="Calibri" w:hAnsi="Calibri"/>
          <w:sz w:val="22"/>
          <w:szCs w:val="22"/>
        </w:rPr>
        <w:t xml:space="preserve">http://www.ipeadata.gov.br/api/odata4/ValoresSerie(SERCODIGO='{series}')</w:t>
      </w:r>
    </w:p>
    <w:p>
      <w:pPr>
        <w:spacing w:after="120" w:line="276"/>
      </w:pPr>
      <w:r>
        <w:rPr>
          <w:rFonts w:ascii="Calibri" w:cs="Calibri" w:eastAsia="Calibri" w:hAnsi="Calibri"/>
          <w:b/>
          <w:bCs/>
          <w:sz w:val="22"/>
          <w:szCs w:val="22"/>
        </w:rPr>
        <w:t xml:space="preserve">Series Codes: </w:t>
      </w:r>
      <w:r>
        <w:rPr>
          <w:rFonts w:ascii="Calibri" w:cs="Calibri" w:eastAsia="Calibri" w:hAnsi="Calibri"/>
          <w:sz w:val="22"/>
          <w:szCs w:val="22"/>
        </w:rPr>
        <w:t xml:space="preserve">ADH_IDHM (composite), ADH_IDHM_E (education), ADH_IDHM_L (longevity), ADH_IDHM_R (income).</w:t>
      </w:r>
    </w:p>
    <w:p>
      <w:pPr>
        <w:spacing w:after="120" w:line="276"/>
      </w:pPr>
      <w:r>
        <w:rPr>
          <w:rFonts w:ascii="Calibri" w:cs="Calibri" w:eastAsia="Calibri" w:hAnsi="Calibri"/>
          <w:b/>
          <w:bCs/>
          <w:sz w:val="22"/>
          <w:szCs w:val="22"/>
        </w:rPr>
        <w:t xml:space="preserve">Processing: </w:t>
      </w:r>
      <w:r>
        <w:rPr>
          <w:rFonts w:ascii="Calibri" w:cs="Calibri" w:eastAsia="Calibri" w:hAnsi="Calibri"/>
          <w:sz w:val="22"/>
          <w:szCs w:val="22"/>
        </w:rPr>
        <w:t xml:space="preserve">OData JSON response parsed. Territory codes mapped to IBGE municipality codes (6→7 digit conversion). Only 2010 Census values used for cross-sectional IDHM. Historical values (1991, 2000) stored separately in idhm_historical table.</w:t>
      </w:r>
    </w:p>
    <w:p>
      <w:pPr>
        <w:pStyle w:val="Heading2"/>
        <w:spacing w:after="140" w:before="280"/>
      </w:pPr>
      <w:r>
        <w:rPr>
          <w:rFonts w:ascii="Calibri" w:cs="Calibri" w:eastAsia="Calibri" w:hAnsi="Calibri"/>
          <w:b/>
          <w:bCs/>
          <w:color w:val="28251D"/>
          <w:sz w:val="26"/>
          <w:szCs w:val="26"/>
        </w:rPr>
        <w:t xml:space="preserve">5.4 FIRJAN IFGF — Fiscal Governance</w:t>
      </w:r>
    </w:p>
    <w:p>
      <w:pPr>
        <w:spacing w:after="120" w:line="276"/>
      </w:pPr>
      <w:r>
        <w:rPr>
          <w:rFonts w:ascii="Calibri" w:cs="Calibri" w:eastAsia="Calibri" w:hAnsi="Calibri"/>
          <w:b/>
          <w:bCs/>
          <w:sz w:val="22"/>
          <w:szCs w:val="22"/>
        </w:rPr>
        <w:t xml:space="preserve">Source File: </w:t>
      </w:r>
      <w:r>
        <w:rPr>
          <w:rFonts w:ascii="Calibri" w:cs="Calibri" w:eastAsia="Calibri" w:hAnsi="Calibri"/>
          <w:sz w:val="22"/>
          <w:szCs w:val="22"/>
        </w:rPr>
        <w:t xml:space="preserve">Evolucao_por_Indicador_2013_a_2024_IFGF_2025.xlsx (downloaded from FIRJAN website)</w:t>
      </w:r>
    </w:p>
    <w:p>
      <w:pPr>
        <w:spacing w:after="120" w:line="276"/>
      </w:pPr>
      <w:r>
        <w:rPr>
          <w:rFonts w:ascii="Calibri" w:cs="Calibri" w:eastAsia="Calibri" w:hAnsi="Calibri"/>
          <w:b/>
          <w:bCs/>
          <w:sz w:val="22"/>
          <w:szCs w:val="22"/>
        </w:rPr>
        <w:t xml:space="preserve">Processing: </w:t>
      </w:r>
      <w:r>
        <w:rPr>
          <w:rFonts w:ascii="Calibri" w:cs="Calibri" w:eastAsia="Calibri" w:hAnsi="Calibri"/>
          <w:sz w:val="22"/>
          <w:szCs w:val="22"/>
        </w:rPr>
        <w:t xml:space="preserve">Excel file parsed with pandas. Contains 5 sub-indices (Receita Própria, Pessoal, Investimentos, Liquidez, Custo da Dívida) plus the IFGF Geral composite. Municipality codes matched to IBGE codes. Years 2015–2023 extracted (2013–2014 available but outside study period).</w:t>
      </w:r>
    </w:p>
    <w:p>
      <w:pPr>
        <w:pStyle w:val="Heading2"/>
        <w:spacing w:after="140" w:before="280"/>
      </w:pPr>
      <w:r>
        <w:rPr>
          <w:rFonts w:ascii="Calibri" w:cs="Calibri" w:eastAsia="Calibri" w:hAnsi="Calibri"/>
          <w:b/>
          <w:bCs/>
          <w:color w:val="28251D"/>
          <w:sz w:val="26"/>
          <w:szCs w:val="26"/>
        </w:rPr>
        <w:t xml:space="preserve">5.5 ANS TabNet — Private Insurance Coverage</w:t>
      </w:r>
    </w:p>
    <w:p>
      <w:pPr>
        <w:spacing w:after="120" w:line="276"/>
      </w:pPr>
      <w:r>
        <w:rPr>
          <w:rFonts w:ascii="Calibri" w:cs="Calibri" w:eastAsia="Calibri" w:hAnsi="Calibri"/>
          <w:b/>
          <w:bCs/>
          <w:sz w:val="22"/>
          <w:szCs w:val="22"/>
        </w:rPr>
        <w:t xml:space="preserve">Source: </w:t>
      </w:r>
      <w:r>
        <w:rPr>
          <w:rFonts w:ascii="Calibri" w:cs="Calibri" w:eastAsia="Calibri" w:hAnsi="Calibri"/>
          <w:sz w:val="22"/>
          <w:szCs w:val="22"/>
        </w:rPr>
        <w:t xml:space="preserve">ANS (Agência Nacional de Saúde Suplementar) TabNet interface</w:t>
      </w:r>
    </w:p>
    <w:p>
      <w:pPr>
        <w:spacing w:after="120" w:line="276"/>
      </w:pPr>
      <w:r>
        <w:rPr>
          <w:rFonts w:ascii="Calibri" w:cs="Calibri" w:eastAsia="Calibri" w:hAnsi="Calibri"/>
          <w:b/>
          <w:bCs/>
          <w:sz w:val="22"/>
          <w:szCs w:val="22"/>
        </w:rPr>
        <w:t xml:space="preserve">Method: </w:t>
      </w:r>
      <w:r>
        <w:rPr>
          <w:rFonts w:ascii="Calibri" w:cs="Calibri" w:eastAsia="Calibri" w:hAnsi="Calibri"/>
          <w:sz w:val="22"/>
          <w:szCs w:val="22"/>
        </w:rPr>
        <w:t xml:space="preserve">Browser-based extraction of beneficiary counts by municipality for December 2023. Coverage rate computed as (beneficiaries / population) × 100. SUS dependence computed as 100 − coverage rate.</w:t>
      </w:r>
    </w:p>
    <w:p>
      <w:pPr>
        <w:pStyle w:val="Heading2"/>
        <w:spacing w:after="140" w:before="280"/>
      </w:pPr>
      <w:r>
        <w:rPr>
          <w:rFonts w:ascii="Calibri" w:cs="Calibri" w:eastAsia="Calibri" w:hAnsi="Calibri"/>
          <w:b/>
          <w:bCs/>
          <w:color w:val="28251D"/>
          <w:sz w:val="26"/>
          <w:szCs w:val="26"/>
        </w:rPr>
        <w:t xml:space="preserve">5.6 IBGE Census 2022 Panorama API — Sanitation</w:t>
      </w:r>
    </w:p>
    <w:p>
      <w:pPr>
        <w:spacing w:after="120" w:line="276"/>
      </w:pPr>
      <w:r>
        <w:rPr>
          <w:rFonts w:ascii="Calibri" w:cs="Calibri" w:eastAsia="Calibri" w:hAnsi="Calibri"/>
          <w:b/>
          <w:bCs/>
          <w:sz w:val="22"/>
          <w:szCs w:val="22"/>
        </w:rPr>
        <w:t xml:space="preserve">Endpoint: </w:t>
      </w:r>
      <w:r>
        <w:rPr>
          <w:rFonts w:ascii="Calibri" w:cs="Calibri" w:eastAsia="Calibri" w:hAnsi="Calibri"/>
          <w:sz w:val="22"/>
          <w:szCs w:val="22"/>
        </w:rPr>
        <w:t xml:space="preserve">https://servicodados.ibge.gov.br/api/v3/agregados/{indicator}/periodos/2022/variaveis?localidades=N6[all]</w:t>
      </w:r>
    </w:p>
    <w:p>
      <w:pPr>
        <w:spacing w:after="120" w:line="276"/>
      </w:pPr>
      <w:r>
        <w:rPr>
          <w:rFonts w:ascii="Calibri" w:cs="Calibri" w:eastAsia="Calibri" w:hAnsi="Calibri"/>
          <w:b/>
          <w:bCs/>
          <w:sz w:val="22"/>
          <w:szCs w:val="22"/>
        </w:rPr>
        <w:t xml:space="preserve">Indicators: </w:t>
      </w:r>
      <w:r>
        <w:rPr>
          <w:rFonts w:ascii="Calibri" w:cs="Calibri" w:eastAsia="Calibri" w:hAnsi="Calibri"/>
          <w:sz w:val="22"/>
          <w:szCs w:val="22"/>
        </w:rPr>
        <w:t xml:space="preserve">60029 (esgotamento sanitário adequado %) and 60030 (abastecimento de água %). These are new Census 2022 indicators not previously available.</w:t>
      </w:r>
    </w:p>
    <w:p>
      <w:pPr>
        <w:pStyle w:val="Heading2"/>
        <w:spacing w:after="140" w:before="280"/>
      </w:pPr>
      <w:r>
        <w:rPr>
          <w:rFonts w:ascii="Calibri" w:cs="Calibri" w:eastAsia="Calibri" w:hAnsi="Calibri"/>
          <w:b/>
          <w:bCs/>
          <w:color w:val="28251D"/>
          <w:sz w:val="26"/>
          <w:szCs w:val="26"/>
        </w:rPr>
        <w:t xml:space="preserve">5.7 RENAVAM — Vehicle Fleet</w:t>
      </w:r>
    </w:p>
    <w:p>
      <w:pPr>
        <w:spacing w:after="120" w:line="276"/>
      </w:pPr>
      <w:r>
        <w:rPr>
          <w:rFonts w:ascii="Calibri" w:cs="Calibri" w:eastAsia="Calibri" w:hAnsi="Calibri"/>
          <w:b/>
          <w:bCs/>
          <w:sz w:val="22"/>
          <w:szCs w:val="22"/>
        </w:rPr>
        <w:t xml:space="preserve">Source: </w:t>
      </w:r>
      <w:r>
        <w:rPr>
          <w:rFonts w:ascii="Calibri" w:cs="Calibri" w:eastAsia="Calibri" w:hAnsi="Calibri"/>
          <w:sz w:val="22"/>
          <w:szCs w:val="22"/>
        </w:rPr>
        <w:t xml:space="preserve">CSV download from dados.transportes.gov.br (Brazilian Open Transport Data portal)</w:t>
      </w:r>
    </w:p>
    <w:p>
      <w:pPr>
        <w:spacing w:after="120" w:line="276"/>
      </w:pPr>
      <w:r>
        <w:rPr>
          <w:rFonts w:ascii="Calibri" w:cs="Calibri" w:eastAsia="Calibri" w:hAnsi="Calibri"/>
          <w:b/>
          <w:bCs/>
          <w:sz w:val="22"/>
          <w:szCs w:val="22"/>
        </w:rPr>
        <w:t xml:space="preserve">Processing: </w:t>
      </w:r>
      <w:r>
        <w:rPr>
          <w:rFonts w:ascii="Calibri" w:cs="Calibri" w:eastAsia="Calibri" w:hAnsi="Calibri"/>
          <w:sz w:val="22"/>
          <w:szCs w:val="22"/>
        </w:rPr>
        <w:t xml:space="preserve">December 2022 fleet counts by municipality. Vehicles per 1,000 inhabitants computed using 2022 population estimates. All vehicle types included (automobiles, motorcycles, trucks, buses).</w:t>
      </w:r>
    </w:p>
    <w:p>
      <w:pPr>
        <w:pStyle w:val="Heading2"/>
        <w:spacing w:after="140" w:before="280"/>
      </w:pPr>
      <w:r>
        <w:rPr>
          <w:rFonts w:ascii="Calibri" w:cs="Calibri" w:eastAsia="Calibri" w:hAnsi="Calibri"/>
          <w:b/>
          <w:bCs/>
          <w:color w:val="28251D"/>
          <w:sz w:val="26"/>
          <w:szCs w:val="26"/>
        </w:rPr>
        <w:t xml:space="preserve">5.8 CNES API — Bellwether Hospital Identification</w:t>
      </w:r>
    </w:p>
    <w:p>
      <w:pPr>
        <w:spacing w:after="120" w:line="276"/>
      </w:pPr>
      <w:r>
        <w:rPr>
          <w:rFonts w:ascii="Calibri" w:cs="Calibri" w:eastAsia="Calibri" w:hAnsi="Calibri"/>
          <w:b/>
          <w:bCs/>
          <w:sz w:val="22"/>
          <w:szCs w:val="22"/>
        </w:rPr>
        <w:t xml:space="preserve">Source: </w:t>
      </w:r>
      <w:r>
        <w:rPr>
          <w:rFonts w:ascii="Calibri" w:cs="Calibri" w:eastAsia="Calibri" w:hAnsi="Calibri"/>
          <w:sz w:val="22"/>
          <w:szCs w:val="22"/>
        </w:rPr>
        <w:t xml:space="preserve">CNES (Cadastro Nacional de Estabelecimentos de Saúde) API</w:t>
      </w:r>
    </w:p>
    <w:p>
      <w:pPr>
        <w:spacing w:after="120" w:line="276"/>
      </w:pPr>
      <w:r>
        <w:rPr>
          <w:rFonts w:ascii="Calibri" w:cs="Calibri" w:eastAsia="Calibri" w:hAnsi="Calibri"/>
          <w:b/>
          <w:bCs/>
          <w:sz w:val="22"/>
          <w:szCs w:val="22"/>
        </w:rPr>
        <w:t xml:space="preserve">Criteria: </w:t>
      </w:r>
      <w:r>
        <w:rPr>
          <w:rFonts w:ascii="Calibri" w:cs="Calibri" w:eastAsia="Calibri" w:hAnsi="Calibri"/>
          <w:sz w:val="22"/>
          <w:szCs w:val="22"/>
        </w:rPr>
        <w:t xml:space="preserve">A facility qualifies as a "bellwether hospital" if it has: (1) a surgical center (centro cirúrgico), (2) an obstetric center (centro obstétrico), and (3) inpatient beds (leitos de internação). This operationalizes the LCoGS definition of facilities capable of performing cesarean delivery, laparotomy, and open fracture treatment.</w:t>
      </w:r>
    </w:p>
    <w:p>
      <w:pPr>
        <w:spacing w:after="120" w:line="276"/>
      </w:pPr>
      <w:r>
        <w:rPr>
          <w:rFonts w:ascii="Calibri" w:cs="Calibri" w:eastAsia="Calibri" w:hAnsi="Calibri"/>
          <w:b/>
          <w:bCs/>
          <w:sz w:val="22"/>
          <w:szCs w:val="22"/>
        </w:rPr>
        <w:t xml:space="preserve">Result: </w:t>
      </w:r>
      <w:r>
        <w:rPr>
          <w:rFonts w:ascii="Calibri" w:cs="Calibri" w:eastAsia="Calibri" w:hAnsi="Calibri"/>
          <w:sz w:val="22"/>
          <w:szCs w:val="22"/>
        </w:rPr>
        <w:t xml:space="preserve">765 bellwether-capable hospitals identified across Brazil, each geocoded with latitude/longitude for haversine distance calculations.</w:t>
      </w:r>
    </w:p>
    <w:p>
      <w:r>
        <w:br w:type="page"/>
      </w:r>
    </w:p>
    <w:p>
      <w:pPr>
        <w:pStyle w:val="Heading1"/>
        <w:spacing w:after="200" w:before="360"/>
      </w:pPr>
      <w:r>
        <w:rPr>
          <w:rFonts w:ascii="Calibri" w:cs="Calibri" w:eastAsia="Calibri" w:hAnsi="Calibri"/>
          <w:b/>
          <w:bCs/>
          <w:color w:val="01696F"/>
          <w:sz w:val="32"/>
          <w:szCs w:val="32"/>
        </w:rPr>
        <w:t xml:space="preserve">6. Analysis Pipeline</w:t>
      </w:r>
    </w:p>
    <w:p>
      <w:pPr>
        <w:spacing w:after="120" w:line="276"/>
      </w:pPr>
      <w:r>
        <w:rPr>
          <w:rFonts w:ascii="Calibri" w:cs="Calibri" w:eastAsia="Calibri" w:hAnsi="Calibri"/>
          <w:b/>
          <w:bCs/>
          <w:sz w:val="22"/>
          <w:szCs w:val="22"/>
        </w:rPr>
        <w:t xml:space="preserve">Script: </w:t>
      </w:r>
      <w:r>
        <w:rPr>
          <w:rFonts w:ascii="Calibri" w:cs="Calibri" w:eastAsia="Calibri" w:hAnsi="Calibri"/>
          <w:sz w:val="22"/>
          <w:szCs w:val="22"/>
        </w:rPr>
        <w:t xml:space="preserve">analysis/icskg_analysis_pipeline.py</w:t>
      </w:r>
    </w:p>
    <w:p>
      <w:pPr>
        <w:spacing w:after="120" w:line="276"/>
      </w:pPr>
      <w:r>
        <w:rPr>
          <w:rFonts w:ascii="Calibri" w:cs="Calibri" w:eastAsia="Calibri" w:hAnsi="Calibri"/>
          <w:sz w:val="22"/>
          <w:szCs w:val="22"/>
        </w:rPr>
        <w:t xml:space="preserve">The analysis pipeline runs 8 sequential phases (0–7), completing in approximately 75 seconds on a standard machine. All phases are idempotent — re-running produces identical results given the same input data.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360"/>
        <w:gridCol w:w="900"/>
        <w:gridCol w:w="2500"/>
      </w:tblGrid>
      <w:tr>
        <w:trPr>
          <w:tblHeader/>
        </w:trPr>
        <w:tc>
          <w:tcPr>
            <w:tcW w:type="dxa" w:w="10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Phase</w:t>
            </w:r>
          </w:p>
        </w:tc>
        <w:tc>
          <w:tcPr>
            <w:tcW w:type="dxa" w:w="16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Name</w:t>
            </w:r>
          </w:p>
        </w:tc>
        <w:tc>
          <w:tcPr>
            <w:tcW w:type="dxa" w:w="336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Description</w:t>
            </w:r>
          </w:p>
        </w:tc>
        <w:tc>
          <w:tcPr>
            <w:tcW w:type="dxa" w:w="9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Duration</w:t>
            </w:r>
          </w:p>
        </w:tc>
        <w:tc>
          <w:tcPr>
            <w:tcW w:type="dxa" w:w="25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Output</w:t>
            </w:r>
          </w:p>
        </w:tc>
      </w:tr>
      <w:tr>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Phase 0</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Connection &amp; Validation</w:t>
            </w:r>
          </w:p>
        </w:tc>
        <w:tc>
          <w:tcPr>
            <w:tcW w:type="dxa" w:w="33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Connect to MotherDuck warehouse, verify all required tables are present, check row counts against expected values.</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~5 sec</w:t>
            </w:r>
          </w:p>
        </w:tc>
        <w:tc>
          <w:tcPr>
            <w:tcW w:type="dxa" w:w="2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Validation report</w:t>
            </w:r>
          </w:p>
        </w:tc>
      </w:tr>
      <w:tr>
        <w:tc>
          <w:tcPr>
            <w:tcW w:type="dxa" w:w="10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Phase 1</w:t>
            </w:r>
          </w:p>
        </w:tc>
        <w:tc>
          <w:tcPr>
            <w:tcW w:type="dxa" w:w="16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LCoGS Computation</w:t>
            </w:r>
          </w:p>
        </w:tc>
        <w:tc>
          <w:tcPr>
            <w:tcW w:type="dxa" w:w="33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Compute all 6 LCoGS indicators at municipality-year level. Joins SIH, CNES, population, and GDP tables.</w:t>
            </w:r>
          </w:p>
        </w:tc>
        <w:tc>
          <w:tcPr>
            <w:tcW w:type="dxa" w:w="9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~10 sec</w:t>
            </w:r>
          </w:p>
        </w:tc>
        <w:tc>
          <w:tcPr>
            <w:tcW w:type="dxa" w:w="25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lcogs_indicators table</w:t>
            </w:r>
          </w:p>
        </w:tc>
      </w:tr>
      <w:tr>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Phase 2</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CUDS Construction</w:t>
            </w:r>
          </w:p>
        </w:tc>
        <w:tc>
          <w:tcPr>
            <w:tcW w:type="dxa" w:w="33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Min-max normalize 9 CIMI dimension indicators within each year. Compute geometric mean composite.</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~8 sec</w:t>
            </w:r>
          </w:p>
        </w:tc>
        <w:tc>
          <w:tcPr>
            <w:tcW w:type="dxa" w:w="2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cuds_scores table</w:t>
            </w:r>
          </w:p>
        </w:tc>
      </w:tr>
      <w:tr>
        <w:tc>
          <w:tcPr>
            <w:tcW w:type="dxa" w:w="10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Phase 3</w:t>
            </w:r>
          </w:p>
        </w:tc>
        <w:tc>
          <w:tcPr>
            <w:tcW w:type="dxa" w:w="16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Descriptive Statistics</w:t>
            </w:r>
          </w:p>
        </w:tc>
        <w:tc>
          <w:tcPr>
            <w:tcW w:type="dxa" w:w="33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Regional summaries, temporal trends, distribution analysis. Generate choropleth maps for key indicators.</w:t>
            </w:r>
          </w:p>
        </w:tc>
        <w:tc>
          <w:tcPr>
            <w:tcW w:type="dxa" w:w="9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~12 sec</w:t>
            </w:r>
          </w:p>
        </w:tc>
        <w:tc>
          <w:tcPr>
            <w:tcW w:type="dxa" w:w="25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CSV summaries, PNG maps</w:t>
            </w:r>
          </w:p>
        </w:tc>
      </w:tr>
      <w:tr>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Phase 4</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Panel Regression</w:t>
            </w:r>
          </w:p>
        </w:tc>
        <w:tc>
          <w:tcPr>
            <w:tcW w:type="dxa" w:w="33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Univariate and multivariate panel regressions. Dose-response cubic splines. Region-stratified models.</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~15 sec</w:t>
            </w:r>
          </w:p>
        </w:tc>
        <w:tc>
          <w:tcPr>
            <w:tcW w:type="dxa" w:w="2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Regression tables, spline plots</w:t>
            </w:r>
          </w:p>
        </w:tc>
      </w:tr>
      <w:tr>
        <w:tc>
          <w:tcPr>
            <w:tcW w:type="dxa" w:w="10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Phase 5</w:t>
            </w:r>
          </w:p>
        </w:tc>
        <w:tc>
          <w:tcPr>
            <w:tcW w:type="dxa" w:w="16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Machine Learning</w:t>
            </w:r>
          </w:p>
        </w:tc>
        <w:tc>
          <w:tcPr>
            <w:tcW w:type="dxa" w:w="33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XGBoost 10-fold cross-validated models for each LCoGS indicator. SHAP feature importance analysis.</w:t>
            </w:r>
          </w:p>
        </w:tc>
        <w:tc>
          <w:tcPr>
            <w:tcW w:type="dxa" w:w="9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~15 sec</w:t>
            </w:r>
          </w:p>
        </w:tc>
        <w:tc>
          <w:tcPr>
            <w:tcW w:type="dxa" w:w="25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Model metrics, SHAP plots</w:t>
            </w:r>
          </w:p>
        </w:tc>
      </w:tr>
      <w:tr>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Phase 6</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Sensitivity Analyses</w:t>
            </w:r>
          </w:p>
        </w:tc>
        <w:tc>
          <w:tcPr>
            <w:tcW w:type="dxa" w:w="33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COVID-year exclusion (2020–2021), alternative aggregation (arithmetic mean), POMR threshold sensitivity.</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~8 sec</w:t>
            </w:r>
          </w:p>
        </w:tc>
        <w:tc>
          <w:tcPr>
            <w:tcW w:type="dxa" w:w="2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Sensitivity comparison tables</w:t>
            </w:r>
          </w:p>
        </w:tc>
      </w:tr>
      <w:tr>
        <w:tc>
          <w:tcPr>
            <w:tcW w:type="dxa" w:w="10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Phase 7</w:t>
            </w:r>
          </w:p>
        </w:tc>
        <w:tc>
          <w:tcPr>
            <w:tcW w:type="dxa" w:w="16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Export</w:t>
            </w:r>
          </w:p>
        </w:tc>
        <w:tc>
          <w:tcPr>
            <w:tcW w:type="dxa" w:w="33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Export final panel dataset and all results to Parquet, CSV, and metadata JSON.</w:t>
            </w:r>
          </w:p>
        </w:tc>
        <w:tc>
          <w:tcPr>
            <w:tcW w:type="dxa" w:w="9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~2 sec</w:t>
            </w:r>
          </w:p>
        </w:tc>
        <w:tc>
          <w:tcPr>
            <w:tcW w:type="dxa" w:w="25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Parquet, CSV, JSON files</w:t>
            </w:r>
          </w:p>
        </w:tc>
      </w:tr>
    </w:tbl>
    <w:p>
      <w:pPr>
        <w:spacing w:after="60"/>
      </w:pPr>
    </w:p>
    <w:p>
      <w:pPr>
        <w:pStyle w:val="Heading2"/>
        <w:spacing w:after="140" w:before="280"/>
      </w:pPr>
      <w:r>
        <w:rPr>
          <w:rFonts w:ascii="Calibri" w:cs="Calibri" w:eastAsia="Calibri" w:hAnsi="Calibri"/>
          <w:b/>
          <w:bCs/>
          <w:color w:val="28251D"/>
          <w:sz w:val="26"/>
          <w:szCs w:val="26"/>
        </w:rPr>
        <w:t xml:space="preserve">6.1 Output Dataset</w:t>
      </w:r>
    </w:p>
    <w:p>
      <w:pPr>
        <w:spacing w:after="120" w:line="276"/>
      </w:pPr>
      <w:r>
        <w:rPr>
          <w:rFonts w:ascii="Calibri" w:cs="Calibri" w:eastAsia="Calibri" w:hAnsi="Calibri"/>
          <w:b/>
          <w:bCs/>
          <w:sz w:val="22"/>
          <w:szCs w:val="22"/>
        </w:rPr>
        <w:t xml:space="preserve">Dimensions: </w:t>
      </w:r>
      <w:r>
        <w:rPr>
          <w:rFonts w:ascii="Calibri" w:cs="Calibri" w:eastAsia="Calibri" w:hAnsi="Calibri"/>
          <w:sz w:val="22"/>
          <w:szCs w:val="22"/>
        </w:rPr>
        <w:t xml:space="preserve">50,130 rows × 73 columns. Each row represents one municipality-year observation (5,570 municipalities × 9 years).</w:t>
      </w:r>
    </w:p>
    <w:p>
      <w:pPr>
        <w:spacing w:after="120" w:line="276"/>
      </w:pPr>
      <w:r>
        <w:rPr>
          <w:rFonts w:ascii="Calibri" w:cs="Calibri" w:eastAsia="Calibri" w:hAnsi="Calibri"/>
          <w:b/>
          <w:bCs/>
          <w:sz w:val="22"/>
          <w:szCs w:val="22"/>
        </w:rPr>
        <w:t xml:space="preserve">Key column groups: </w:t>
      </w:r>
    </w:p>
    <w:p>
      <w:pPr>
        <w:pStyle w:val="ListParagraph"/>
        <w:numPr>
          <w:ilvl w:val="0"/>
          <w:numId w:val="2"/>
        </w:numPr>
        <w:spacing w:after="60" w:line="276"/>
      </w:pPr>
      <w:r>
        <w:rPr>
          <w:rFonts w:ascii="Calibri" w:cs="Calibri" w:eastAsia="Calibri" w:hAnsi="Calibri"/>
          <w:sz w:val="22"/>
          <w:szCs w:val="22"/>
        </w:rPr>
        <w:t xml:space="preserve">Municipality identifiers: IBGE code, name, state, region, latitude, longitude</w:t>
      </w:r>
    </w:p>
    <w:p>
      <w:pPr>
        <w:pStyle w:val="ListParagraph"/>
        <w:numPr>
          <w:ilvl w:val="0"/>
          <w:numId w:val="2"/>
        </w:numPr>
        <w:spacing w:after="60" w:line="276"/>
      </w:pPr>
      <w:r>
        <w:rPr>
          <w:rFonts w:ascii="Calibri" w:cs="Calibri" w:eastAsia="Calibri" w:hAnsi="Calibri"/>
          <w:sz w:val="22"/>
          <w:szCs w:val="22"/>
        </w:rPr>
        <w:t xml:space="preserve">Population and economic: population, GDP total, GDP per capita</w:t>
      </w:r>
    </w:p>
    <w:p>
      <w:pPr>
        <w:pStyle w:val="ListParagraph"/>
        <w:numPr>
          <w:ilvl w:val="0"/>
          <w:numId w:val="2"/>
        </w:numPr>
        <w:spacing w:after="60" w:line="276"/>
      </w:pPr>
      <w:r>
        <w:rPr>
          <w:rFonts w:ascii="Calibri" w:cs="Calibri" w:eastAsia="Calibri" w:hAnsi="Calibri"/>
          <w:sz w:val="22"/>
          <w:szCs w:val="22"/>
        </w:rPr>
        <w:t xml:space="preserve">LCoGS indicators: bellwether access, SAO density, surgical volume, POMR, financial burden, catastrophic expenditure</w:t>
      </w:r>
    </w:p>
    <w:p>
      <w:pPr>
        <w:pStyle w:val="ListParagraph"/>
        <w:numPr>
          <w:ilvl w:val="0"/>
          <w:numId w:val="2"/>
        </w:numPr>
        <w:spacing w:after="60" w:line="276"/>
      </w:pPr>
      <w:r>
        <w:rPr>
          <w:rFonts w:ascii="Calibri" w:cs="Calibri" w:eastAsia="Calibri" w:hAnsi="Calibri"/>
          <w:sz w:val="22"/>
          <w:szCs w:val="22"/>
        </w:rPr>
        <w:t xml:space="preserve">CIMI dimensions: 9 raw indicators + 9 normalized scores + CUDS composite</w:t>
      </w:r>
    </w:p>
    <w:p>
      <w:pPr>
        <w:pStyle w:val="ListParagraph"/>
        <w:numPr>
          <w:ilvl w:val="0"/>
          <w:numId w:val="2"/>
        </w:numPr>
        <w:spacing w:after="60" w:line="276"/>
      </w:pPr>
      <w:r>
        <w:rPr>
          <w:rFonts w:ascii="Calibri" w:cs="Calibri" w:eastAsia="Calibri" w:hAnsi="Calibri"/>
          <w:sz w:val="22"/>
          <w:szCs w:val="22"/>
        </w:rPr>
        <w:t xml:space="preserve">Covariates: SUS dependence, private coverage, IDHM sub-indices, IFGF sub-indices</w:t>
      </w:r>
    </w:p>
    <w:p>
      <w:pPr>
        <w:pStyle w:val="ListParagraph"/>
        <w:numPr>
          <w:ilvl w:val="0"/>
          <w:numId w:val="2"/>
        </w:numPr>
        <w:spacing w:after="60" w:line="276"/>
      </w:pPr>
      <w:r>
        <w:rPr>
          <w:rFonts w:ascii="Calibri" w:cs="Calibri" w:eastAsia="Calibri" w:hAnsi="Calibri"/>
          <w:sz w:val="22"/>
          <w:szCs w:val="22"/>
        </w:rPr>
        <w:t xml:space="preserve">Metadata: year, region code, population quintile, urban/rural classification</w:t>
      </w:r>
    </w:p>
    <w:p>
      <w:r>
        <w:br w:type="page"/>
      </w:r>
    </w:p>
    <w:p>
      <w:pPr>
        <w:pStyle w:val="Heading1"/>
        <w:spacing w:after="200" w:before="360"/>
      </w:pPr>
      <w:r>
        <w:rPr>
          <w:rFonts w:ascii="Calibri" w:cs="Calibri" w:eastAsia="Calibri" w:hAnsi="Calibri"/>
          <w:b/>
          <w:bCs/>
          <w:color w:val="01696F"/>
          <w:sz w:val="32"/>
          <w:szCs w:val="32"/>
        </w:rPr>
        <w:t xml:space="preserve">7. Current Results Summary</w:t>
      </w:r>
    </w:p>
    <w:p>
      <w:pPr>
        <w:spacing w:after="120" w:line="276"/>
      </w:pPr>
      <w:r>
        <w:rPr>
          <w:rFonts w:ascii="Calibri" w:cs="Calibri" w:eastAsia="Calibri" w:hAnsi="Calibri"/>
          <w:sz w:val="22"/>
          <w:szCs w:val="22"/>
        </w:rPr>
        <w:t xml:space="preserve">Latest pipeline run: March 31, 2026 (9/9 CIMI dimensions complete). Key findings are summarized below.</w:t>
      </w:r>
    </w:p>
    <w:p>
      <w:pPr>
        <w:pStyle w:val="Heading2"/>
        <w:spacing w:after="140" w:before="280"/>
      </w:pPr>
      <w:r>
        <w:rPr>
          <w:rFonts w:ascii="Calibri" w:cs="Calibri" w:eastAsia="Calibri" w:hAnsi="Calibri"/>
          <w:b/>
          <w:bCs/>
          <w:color w:val="28251D"/>
          <w:sz w:val="26"/>
          <w:szCs w:val="26"/>
        </w:rPr>
        <w:t xml:space="preserve">7.1 Machine Learning Performance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400"/>
        <w:gridCol w:w="1800"/>
        <w:gridCol w:w="3460"/>
      </w:tblGrid>
      <w:tr>
        <w:trPr>
          <w:tblHeader/>
        </w:trPr>
        <w:tc>
          <w:tcPr>
            <w:tcW w:type="dxa" w:w="12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Model</w:t>
            </w:r>
          </w:p>
        </w:tc>
        <w:tc>
          <w:tcPr>
            <w:tcW w:type="dxa" w:w="15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Target</w:t>
            </w:r>
          </w:p>
        </w:tc>
        <w:tc>
          <w:tcPr>
            <w:tcW w:type="dxa" w:w="14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R² (10-fold CV)</w:t>
            </w:r>
          </w:p>
        </w:tc>
        <w:tc>
          <w:tcPr>
            <w:tcW w:type="dxa" w:w="18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Top Predictor</w:t>
            </w:r>
          </w:p>
        </w:tc>
        <w:tc>
          <w:tcPr>
            <w:tcW w:type="dxa" w:w="346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Interpretation</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XGBoost</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LCoGS Composite</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0.249</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Bellwether distance</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Spatial access dominates composite score</w:t>
            </w:r>
          </w:p>
        </w:tc>
      </w:tr>
      <w:tr>
        <w:tc>
          <w:tcPr>
            <w:tcW w:type="dxa" w:w="1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XGBoost</w:t>
            </w:r>
          </w:p>
        </w:tc>
        <w:tc>
          <w:tcPr>
            <w:tcW w:type="dxa" w:w="15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POMR</w:t>
            </w:r>
          </w:p>
        </w:tc>
        <w:tc>
          <w:tcPr>
            <w:tcW w:type="dxa" w:w="14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w:t>
            </w:r>
          </w:p>
        </w:tc>
        <w:tc>
          <w:tcPr>
            <w:tcW w:type="dxa" w:w="1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SUS dependence</w:t>
            </w:r>
          </w:p>
        </w:tc>
        <w:tc>
          <w:tcPr>
            <w:tcW w:type="dxa" w:w="34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Higher SUS dependence → higher mortality (clinically coherent)</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XGBoost</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Surgical Volume</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Vehicles per 1,000</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Mobility proxy predicts access to surgical care</w:t>
            </w:r>
          </w:p>
        </w:tc>
      </w:tr>
      <w:tr>
        <w:tc>
          <w:tcPr>
            <w:tcW w:type="dxa" w:w="1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XGBoost</w:t>
            </w:r>
          </w:p>
        </w:tc>
        <w:tc>
          <w:tcPr>
            <w:tcW w:type="dxa" w:w="15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SAO Density</w:t>
            </w:r>
          </w:p>
        </w:tc>
        <w:tc>
          <w:tcPr>
            <w:tcW w:type="dxa" w:w="14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w:t>
            </w:r>
          </w:p>
        </w:tc>
        <w:tc>
          <w:tcPr>
            <w:tcW w:type="dxa" w:w="1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GDP per capita</w:t>
            </w:r>
          </w:p>
        </w:tc>
        <w:tc>
          <w:tcPr>
            <w:tcW w:type="dxa" w:w="34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Economic development attracts health workforce</w:t>
            </w:r>
          </w:p>
        </w:tc>
      </w:tr>
    </w:tbl>
    <w:p>
      <w:pPr>
        <w:spacing w:after="60"/>
      </w:pPr>
    </w:p>
    <w:p>
      <w:pPr>
        <w:pStyle w:val="Heading2"/>
        <w:spacing w:after="140" w:before="280"/>
      </w:pPr>
      <w:r>
        <w:rPr>
          <w:rFonts w:ascii="Calibri" w:cs="Calibri" w:eastAsia="Calibri" w:hAnsi="Calibri"/>
          <w:b/>
          <w:bCs/>
          <w:color w:val="28251D"/>
          <w:sz w:val="26"/>
          <w:szCs w:val="26"/>
        </w:rPr>
        <w:t xml:space="preserve">7.2 Regional Disparities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260"/>
        <w:gridCol w:w="1260"/>
        <w:gridCol w:w="1260"/>
        <w:gridCol w:w="1260"/>
      </w:tblGrid>
      <w:tr>
        <w:trPr>
          <w:tblHeader/>
        </w:trPr>
        <w:tc>
          <w:tcPr>
            <w:tcW w:type="dxa" w:w="18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Metric</w:t>
            </w:r>
          </w:p>
        </w:tc>
        <w:tc>
          <w:tcPr>
            <w:tcW w:type="dxa" w:w="126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Norte</w:t>
            </w:r>
          </w:p>
        </w:tc>
        <w:tc>
          <w:tcPr>
            <w:tcW w:type="dxa" w:w="126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Nordeste</w:t>
            </w:r>
          </w:p>
        </w:tc>
        <w:tc>
          <w:tcPr>
            <w:tcW w:type="dxa" w:w="126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Centro-Oeste</w:t>
            </w:r>
          </w:p>
        </w:tc>
        <w:tc>
          <w:tcPr>
            <w:tcW w:type="dxa" w:w="126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Sudeste</w:t>
            </w:r>
          </w:p>
        </w:tc>
        <w:tc>
          <w:tcPr>
            <w:tcW w:type="dxa" w:w="126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Sul</w:t>
            </w:r>
          </w:p>
        </w:tc>
        <w:tc>
          <w:tcPr>
            <w:tcW w:type="dxa" w:w="126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National</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IFGF Geral (mean)</w:t>
            </w:r>
          </w:p>
        </w:tc>
        <w:tc>
          <w:tcPr>
            <w:tcW w:type="dxa" w:w="12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0.483</w:t>
            </w:r>
          </w:p>
        </w:tc>
        <w:tc>
          <w:tcPr>
            <w:tcW w:type="dxa" w:w="12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0.427</w:t>
            </w:r>
          </w:p>
        </w:tc>
        <w:tc>
          <w:tcPr>
            <w:tcW w:type="dxa" w:w="12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0.572</w:t>
            </w:r>
          </w:p>
        </w:tc>
        <w:tc>
          <w:tcPr>
            <w:tcW w:type="dxa" w:w="12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0.612</w:t>
            </w:r>
          </w:p>
        </w:tc>
        <w:tc>
          <w:tcPr>
            <w:tcW w:type="dxa" w:w="12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0.735</w:t>
            </w:r>
          </w:p>
        </w:tc>
        <w:tc>
          <w:tcPr>
            <w:tcW w:type="dxa" w:w="12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0.541</w:t>
            </w:r>
          </w:p>
        </w:tc>
      </w:tr>
      <w:tr>
        <w:tc>
          <w:tcPr>
            <w:tcW w:type="dxa" w:w="1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IDHM (2010 mean)</w:t>
            </w:r>
          </w:p>
        </w:tc>
        <w:tc>
          <w:tcPr>
            <w:tcW w:type="dxa" w:w="12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0.609</w:t>
            </w:r>
          </w:p>
        </w:tc>
        <w:tc>
          <w:tcPr>
            <w:tcW w:type="dxa" w:w="12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0.591</w:t>
            </w:r>
          </w:p>
        </w:tc>
        <w:tc>
          <w:tcPr>
            <w:tcW w:type="dxa" w:w="12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0.690</w:t>
            </w:r>
          </w:p>
        </w:tc>
        <w:tc>
          <w:tcPr>
            <w:tcW w:type="dxa" w:w="12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0.699</w:t>
            </w:r>
          </w:p>
        </w:tc>
        <w:tc>
          <w:tcPr>
            <w:tcW w:type="dxa" w:w="12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0.714</w:t>
            </w:r>
          </w:p>
        </w:tc>
        <w:tc>
          <w:tcPr>
            <w:tcW w:type="dxa" w:w="12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0.659</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SUS Dependence (median %)</w:t>
            </w:r>
          </w:p>
        </w:tc>
        <w:tc>
          <w:tcPr>
            <w:tcW w:type="dxa" w:w="12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96.2</w:t>
            </w:r>
          </w:p>
        </w:tc>
        <w:tc>
          <w:tcPr>
            <w:tcW w:type="dxa" w:w="12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97.1</w:t>
            </w:r>
          </w:p>
        </w:tc>
        <w:tc>
          <w:tcPr>
            <w:tcW w:type="dxa" w:w="12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93.5</w:t>
            </w:r>
          </w:p>
        </w:tc>
        <w:tc>
          <w:tcPr>
            <w:tcW w:type="dxa" w:w="12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88.4</w:t>
            </w:r>
          </w:p>
        </w:tc>
        <w:tc>
          <w:tcPr>
            <w:tcW w:type="dxa" w:w="12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91.3</w:t>
            </w:r>
          </w:p>
        </w:tc>
        <w:tc>
          <w:tcPr>
            <w:tcW w:type="dxa" w:w="12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94.8</w:t>
            </w:r>
          </w:p>
        </w:tc>
      </w:tr>
      <w:tr>
        <w:tc>
          <w:tcPr>
            <w:tcW w:type="dxa" w:w="1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SAO per 100k (median)</w:t>
            </w:r>
          </w:p>
        </w:tc>
        <w:tc>
          <w:tcPr>
            <w:tcW w:type="dxa" w:w="12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w:t>
            </w:r>
          </w:p>
        </w:tc>
        <w:tc>
          <w:tcPr>
            <w:tcW w:type="dxa" w:w="12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w:t>
            </w:r>
          </w:p>
        </w:tc>
        <w:tc>
          <w:tcPr>
            <w:tcW w:type="dxa" w:w="12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w:t>
            </w:r>
          </w:p>
        </w:tc>
        <w:tc>
          <w:tcPr>
            <w:tcW w:type="dxa" w:w="12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w:t>
            </w:r>
          </w:p>
        </w:tc>
        <w:tc>
          <w:tcPr>
            <w:tcW w:type="dxa" w:w="12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w:t>
            </w:r>
          </w:p>
        </w:tc>
        <w:tc>
          <w:tcPr>
            <w:tcW w:type="dxa" w:w="12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Surgical Vol. per 100k</w:t>
            </w:r>
          </w:p>
        </w:tc>
        <w:tc>
          <w:tcPr>
            <w:tcW w:type="dxa" w:w="12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w:t>
            </w:r>
          </w:p>
        </w:tc>
      </w:tr>
    </w:tbl>
    <w:p>
      <w:pPr>
        <w:spacing w:after="60"/>
      </w:pPr>
    </w:p>
    <w:p>
      <w:pPr>
        <w:spacing w:after="120" w:line="276"/>
      </w:pPr>
      <w:r>
        <w:rPr>
          <w:rFonts w:ascii="Calibri" w:cs="Calibri" w:eastAsia="Calibri" w:hAnsi="Calibri"/>
          <w:b/>
          <w:bCs/>
          <w:sz w:val="22"/>
          <w:szCs w:val="22"/>
        </w:rPr>
        <w:t xml:space="preserve">Key Pattern: </w:t>
      </w:r>
      <w:r>
        <w:rPr>
          <w:rFonts w:ascii="Calibri" w:cs="Calibri" w:eastAsia="Calibri" w:hAnsi="Calibri"/>
          <w:sz w:val="22"/>
          <w:szCs w:val="22"/>
        </w:rPr>
        <w:t xml:space="preserve">Consistent North–South gradient across all urban development dimensions. The Sul (South) region outperforms on governance (IFGF 0.735 vs. Nordeste 0.427), human development (IDHM 0.714 vs. 0.591), and has lower SUS dependence. These disparities mirror known socioeconomic gradients in Brazil.</w:t>
      </w:r>
    </w:p>
    <w:p>
      <w:pPr>
        <w:pStyle w:val="Heading2"/>
        <w:spacing w:after="140" w:before="280"/>
      </w:pPr>
      <w:r>
        <w:rPr>
          <w:rFonts w:ascii="Calibri" w:cs="Calibri" w:eastAsia="Calibri" w:hAnsi="Calibri"/>
          <w:b/>
          <w:bCs/>
          <w:color w:val="28251D"/>
          <w:sz w:val="26"/>
          <w:szCs w:val="26"/>
        </w:rPr>
        <w:t xml:space="preserve">7.3 SUS Dependence</w:t>
      </w:r>
    </w:p>
    <w:p>
      <w:pPr>
        <w:spacing w:after="120" w:line="276"/>
      </w:pPr>
      <w:r>
        <w:rPr>
          <w:rFonts w:ascii="Calibri" w:cs="Calibri" w:eastAsia="Calibri" w:hAnsi="Calibri"/>
          <w:sz w:val="22"/>
          <w:szCs w:val="22"/>
        </w:rPr>
        <w:t xml:space="preserve">The median SUS dependence nationally is 94.8%, indicating that in most Brazilian municipalities, the vast majority of the population relies exclusively on the public health system for surgical care. This variable emerges as a top predictor for POMR, suggesting that municipalities with higher private-sector alternatives may have better perioperative outcomes — though this likely reflects confounding by wealth rather than a causal private-sector advantage.</w:t>
      </w:r>
    </w:p>
    <w:p>
      <w:r>
        <w:br w:type="page"/>
      </w:r>
    </w:p>
    <w:p>
      <w:pPr>
        <w:pStyle w:val="Heading1"/>
        <w:spacing w:after="200" w:before="360"/>
      </w:pPr>
      <w:r>
        <w:rPr>
          <w:rFonts w:ascii="Calibri" w:cs="Calibri" w:eastAsia="Calibri" w:hAnsi="Calibri"/>
          <w:b/>
          <w:bCs/>
          <w:color w:val="01696F"/>
          <w:sz w:val="32"/>
          <w:szCs w:val="32"/>
        </w:rPr>
        <w:t xml:space="preserve">8. Reproducibility Guide</w:t>
      </w:r>
    </w:p>
    <w:p>
      <w:pPr>
        <w:pStyle w:val="Heading2"/>
        <w:spacing w:after="140" w:before="280"/>
      </w:pPr>
      <w:r>
        <w:rPr>
          <w:rFonts w:ascii="Calibri" w:cs="Calibri" w:eastAsia="Calibri" w:hAnsi="Calibri"/>
          <w:b/>
          <w:bCs/>
          <w:color w:val="28251D"/>
          <w:sz w:val="26"/>
          <w:szCs w:val="26"/>
        </w:rPr>
        <w:t xml:space="preserve">8.1 Legal Basis</w:t>
      </w:r>
    </w:p>
    <w:p>
      <w:pPr>
        <w:spacing w:after="120" w:line="276"/>
      </w:pPr>
      <w:r>
        <w:rPr>
          <w:rFonts w:ascii="Calibri" w:cs="Calibri" w:eastAsia="Calibri" w:hAnsi="Calibri"/>
          <w:sz w:val="22"/>
          <w:szCs w:val="22"/>
        </w:rPr>
        <w:t xml:space="preserve">All data used in this study are publicly available through Brazilian government portals, accessed under Lei de Acesso à Informação (Law 12.527/2011). No individual-level identifiable data are used — all analyses operate on municipality-level aggregates or de-identified administrative records.</w:t>
      </w:r>
    </w:p>
    <w:p>
      <w:pPr>
        <w:pStyle w:val="Heading2"/>
        <w:spacing w:after="140" w:before="280"/>
      </w:pPr>
      <w:r>
        <w:rPr>
          <w:rFonts w:ascii="Calibri" w:cs="Calibri" w:eastAsia="Calibri" w:hAnsi="Calibri"/>
          <w:b/>
          <w:bCs/>
          <w:color w:val="28251D"/>
          <w:sz w:val="26"/>
          <w:szCs w:val="26"/>
        </w:rPr>
        <w:t xml:space="preserve">8.2 Environment Setup</w:t>
      </w:r>
    </w:p>
    <w:p>
      <w:pPr>
        <w:pStyle w:val="Heading3"/>
        <w:spacing w:after="100" w:before="200"/>
      </w:pPr>
      <w:r>
        <w:rPr>
          <w:rFonts w:ascii="Calibri" w:cs="Calibri" w:eastAsia="Calibri" w:hAnsi="Calibri"/>
          <w:b/>
          <w:bCs/>
          <w:color w:val="333333"/>
          <w:sz w:val="22"/>
          <w:szCs w:val="22"/>
        </w:rPr>
        <w:t xml:space="preserve">Python Dependencies</w:t>
      </w:r>
    </w:p>
    <w:p>
      <w:pPr>
        <w:spacing w:after="120" w:line="276"/>
      </w:pPr>
      <w:r>
        <w:rPr>
          <w:rFonts w:ascii="Calibri" w:cs="Calibri" w:eastAsia="Calibri" w:hAnsi="Calibri"/>
          <w:sz w:val="22"/>
          <w:szCs w:val="22"/>
        </w:rPr>
        <w:t xml:space="preserve">Install using: </w:t>
      </w:r>
      <w:r>
        <w:rPr>
          <w:rFonts w:ascii="Consolas" w:cs="Consolas" w:eastAsia="Consolas" w:hAnsi="Consolas"/>
          <w:sz w:val="20"/>
          <w:szCs w:val="20"/>
        </w:rPr>
        <w:t xml:space="preserve">pip install -r requirements.txt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Package</w:t>
            </w:r>
          </w:p>
        </w:tc>
        <w:tc>
          <w:tcPr>
            <w:tcW w:type="dxa" w:w="15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Version</w:t>
            </w:r>
          </w:p>
        </w:tc>
        <w:tc>
          <w:tcPr>
            <w:tcW w:type="dxa" w:w="586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duckdb</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≥0.10</w:t>
            </w:r>
          </w:p>
        </w:tc>
        <w:tc>
          <w:tcPr>
            <w:tcW w:type="dxa" w:w="58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Local and MotherDuck database engine</w:t>
            </w:r>
          </w:p>
        </w:tc>
      </w:tr>
      <w:tr>
        <w:tc>
          <w:tcPr>
            <w:tcW w:type="dxa" w:w="20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pandas</w:t>
            </w:r>
          </w:p>
        </w:tc>
        <w:tc>
          <w:tcPr>
            <w:tcW w:type="dxa" w:w="15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≥2.0</w:t>
            </w:r>
          </w:p>
        </w:tc>
        <w:tc>
          <w:tcPr>
            <w:tcW w:type="dxa" w:w="58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Data manipulation and analysis</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numpy</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≥1.24</w:t>
            </w:r>
          </w:p>
        </w:tc>
        <w:tc>
          <w:tcPr>
            <w:tcW w:type="dxa" w:w="58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Numerical computations</w:t>
            </w:r>
          </w:p>
        </w:tc>
      </w:tr>
      <w:tr>
        <w:tc>
          <w:tcPr>
            <w:tcW w:type="dxa" w:w="20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scipy</w:t>
            </w:r>
          </w:p>
        </w:tc>
        <w:tc>
          <w:tcPr>
            <w:tcW w:type="dxa" w:w="15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≥1.11</w:t>
            </w:r>
          </w:p>
        </w:tc>
        <w:tc>
          <w:tcPr>
            <w:tcW w:type="dxa" w:w="58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Statistical tests and distributions</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statsmodels</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≥0.14</w:t>
            </w:r>
          </w:p>
        </w:tc>
        <w:tc>
          <w:tcPr>
            <w:tcW w:type="dxa" w:w="58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Panel regression and statistical models</w:t>
            </w:r>
          </w:p>
        </w:tc>
      </w:tr>
      <w:tr>
        <w:tc>
          <w:tcPr>
            <w:tcW w:type="dxa" w:w="20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scikit-learn</w:t>
            </w:r>
          </w:p>
        </w:tc>
        <w:tc>
          <w:tcPr>
            <w:tcW w:type="dxa" w:w="15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≥1.3</w:t>
            </w:r>
          </w:p>
        </w:tc>
        <w:tc>
          <w:tcPr>
            <w:tcW w:type="dxa" w:w="58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Preprocessing, cross-validation, metrics</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xgboost</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≥2.0</w:t>
            </w:r>
          </w:p>
        </w:tc>
        <w:tc>
          <w:tcPr>
            <w:tcW w:type="dxa" w:w="58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Gradient boosting models</w:t>
            </w:r>
          </w:p>
        </w:tc>
      </w:tr>
      <w:tr>
        <w:tc>
          <w:tcPr>
            <w:tcW w:type="dxa" w:w="20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shap</w:t>
            </w:r>
          </w:p>
        </w:tc>
        <w:tc>
          <w:tcPr>
            <w:tcW w:type="dxa" w:w="15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≥0.43</w:t>
            </w:r>
          </w:p>
        </w:tc>
        <w:tc>
          <w:tcPr>
            <w:tcW w:type="dxa" w:w="58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SHAP feature importance analysis</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matplotlib</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≥3.8</w:t>
            </w:r>
          </w:p>
        </w:tc>
        <w:tc>
          <w:tcPr>
            <w:tcW w:type="dxa" w:w="58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Publication-quality figures</w:t>
            </w:r>
          </w:p>
        </w:tc>
      </w:tr>
      <w:tr>
        <w:tc>
          <w:tcPr>
            <w:tcW w:type="dxa" w:w="20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seaborn</w:t>
            </w:r>
          </w:p>
        </w:tc>
        <w:tc>
          <w:tcPr>
            <w:tcW w:type="dxa" w:w="15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≥0.13</w:t>
            </w:r>
          </w:p>
        </w:tc>
        <w:tc>
          <w:tcPr>
            <w:tcW w:type="dxa" w:w="58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Statistical visualization</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pysus</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1.0.1</w:t>
            </w:r>
          </w:p>
        </w:tc>
        <w:tc>
          <w:tcPr>
            <w:tcW w:type="dxa" w:w="58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DATASUS FTP download interface</w:t>
            </w:r>
          </w:p>
        </w:tc>
      </w:tr>
    </w:tbl>
    <w:p>
      <w:pPr>
        <w:spacing w:after="60"/>
      </w:pPr>
    </w:p>
    <w:p>
      <w:pPr>
        <w:pStyle w:val="Heading3"/>
        <w:spacing w:after="100" w:before="200"/>
      </w:pPr>
      <w:r>
        <w:rPr>
          <w:rFonts w:ascii="Calibri" w:cs="Calibri" w:eastAsia="Calibri" w:hAnsi="Calibri"/>
          <w:b/>
          <w:bCs/>
          <w:color w:val="333333"/>
          <w:sz w:val="22"/>
          <w:szCs w:val="22"/>
        </w:rPr>
        <w:t xml:space="preserve">MotherDuck Access</w:t>
      </w:r>
    </w:p>
    <w:p>
      <w:pPr>
        <w:spacing w:after="120" w:line="276"/>
      </w:pPr>
      <w:r>
        <w:rPr>
          <w:rFonts w:ascii="Calibri" w:cs="Calibri" w:eastAsia="Calibri" w:hAnsi="Calibri"/>
          <w:sz w:val="22"/>
          <w:szCs w:val="22"/>
        </w:rPr>
        <w:t xml:space="preserve">Set the environment variable </w:t>
      </w:r>
      <w:r>
        <w:rPr>
          <w:rFonts w:ascii="Consolas" w:cs="Consolas" w:eastAsia="Consolas" w:hAnsi="Consolas"/>
          <w:sz w:val="20"/>
          <w:szCs w:val="20"/>
        </w:rPr>
        <w:t xml:space="preserve">MOTHERDUCK_TOKEN</w:t>
      </w:r>
      <w:r>
        <w:rPr>
          <w:rFonts w:ascii="Calibri" w:cs="Calibri" w:eastAsia="Calibri" w:hAnsi="Calibri"/>
          <w:sz w:val="22"/>
          <w:szCs w:val="22"/>
        </w:rPr>
        <w:t xml:space="preserve"> with your personal access token. Connect using: </w:t>
      </w:r>
      <w:r>
        <w:rPr>
          <w:rFonts w:ascii="Consolas" w:cs="Consolas" w:eastAsia="Consolas" w:hAnsi="Consolas"/>
          <w:sz w:val="20"/>
          <w:szCs w:val="20"/>
        </w:rPr>
        <w:t xml:space="preserve">duckdb.connect('md:icskg_br')</w:t>
      </w:r>
      <w:r>
        <w:rPr>
          <w:rFonts w:ascii="Calibri" w:cs="Calibri" w:eastAsia="Calibri" w:hAnsi="Calibri"/>
          <w:sz w:val="22"/>
          <w:szCs w:val="22"/>
        </w:rPr>
        <w:t xml:space="preserve">.</w:t>
      </w:r>
    </w:p>
    <w:p>
      <w:pPr>
        <w:pStyle w:val="Heading2"/>
        <w:spacing w:after="140" w:before="280"/>
      </w:pPr>
      <w:r>
        <w:rPr>
          <w:rFonts w:ascii="Calibri" w:cs="Calibri" w:eastAsia="Calibri" w:hAnsi="Calibri"/>
          <w:b/>
          <w:bCs/>
          <w:color w:val="28251D"/>
          <w:sz w:val="26"/>
          <w:szCs w:val="26"/>
        </w:rPr>
        <w:t xml:space="preserve">8.3 Repository Structure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Path</w:t>
            </w:r>
          </w:p>
        </w:tc>
        <w:tc>
          <w:tcPr>
            <w:tcW w:type="dxa" w:w="556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Description</w:t>
            </w:r>
          </w:p>
        </w:tc>
      </w:tr>
      <w:tr>
        <w:tc>
          <w:tcPr>
            <w:tcW w:type="dxa" w:w="3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analysis/icskg_analysis_pipeline.py</w:t>
            </w:r>
          </w:p>
        </w:tc>
        <w:tc>
          <w:tcPr>
            <w:tcW w:type="dxa" w:w="5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Main analysis pipeline (Phases 0–7)</w:t>
            </w:r>
          </w:p>
        </w:tc>
      </w:tr>
      <w:tr>
        <w:tc>
          <w:tcPr>
            <w:tcW w:type="dxa" w:w="3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scripts/continue_raw_download.py</w:t>
            </w:r>
          </w:p>
        </w:tc>
        <w:tc>
          <w:tcPr>
            <w:tcW w:type="dxa" w:w="55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Resume SIH/CNES raw data downloads from DATASUS FTP</w:t>
            </w:r>
          </w:p>
        </w:tc>
      </w:tr>
      <w:tr>
        <w:tc>
          <w:tcPr>
            <w:tcW w:type="dxa" w:w="3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scripts/download_ans.py</w:t>
            </w:r>
          </w:p>
        </w:tc>
        <w:tc>
          <w:tcPr>
            <w:tcW w:type="dxa" w:w="5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Download ANS private insurance coverage data</w:t>
            </w:r>
          </w:p>
        </w:tc>
      </w:tr>
      <w:tr>
        <w:tc>
          <w:tcPr>
            <w:tcW w:type="dxa" w:w="3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scripts/load_to_motherduck.py</w:t>
            </w:r>
          </w:p>
        </w:tc>
        <w:tc>
          <w:tcPr>
            <w:tcW w:type="dxa" w:w="55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ETL: load processed data into MotherDuck warehouse</w:t>
            </w:r>
          </w:p>
        </w:tc>
      </w:tr>
      <w:tr>
        <w:tc>
          <w:tcPr>
            <w:tcW w:type="dxa" w:w="3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data/raw/</w:t>
            </w:r>
          </w:p>
        </w:tc>
        <w:tc>
          <w:tcPr>
            <w:tcW w:type="dxa" w:w="5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Raw downloaded files (SIH .dbc, CNES .dbc, IBGE .json)</w:t>
            </w:r>
          </w:p>
        </w:tc>
      </w:tr>
      <w:tr>
        <w:tc>
          <w:tcPr>
            <w:tcW w:type="dxa" w:w="3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data/processed/</w:t>
            </w:r>
          </w:p>
        </w:tc>
        <w:tc>
          <w:tcPr>
            <w:tcW w:type="dxa" w:w="55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Cleaned, aggregated datasets ready for loading</w:t>
            </w:r>
          </w:p>
        </w:tc>
      </w:tr>
      <w:tr>
        <w:tc>
          <w:tcPr>
            <w:tcW w:type="dxa" w:w="3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results/</w:t>
            </w:r>
          </w:p>
        </w:tc>
        <w:tc>
          <w:tcPr>
            <w:tcW w:type="dxa" w:w="5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Pipeline output: parquet, CSV, PNG figures, metadata JSON</w:t>
            </w:r>
          </w:p>
        </w:tc>
      </w:tr>
      <w:tr>
        <w:tc>
          <w:tcPr>
            <w:tcW w:type="dxa" w:w="3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docs/</w:t>
            </w:r>
          </w:p>
        </w:tc>
        <w:tc>
          <w:tcPr>
            <w:tcW w:type="dxa" w:w="55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Documentation including this reproducibility guide</w:t>
            </w:r>
          </w:p>
        </w:tc>
      </w:tr>
      <w:tr>
        <w:tc>
          <w:tcPr>
            <w:tcW w:type="dxa" w:w="3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requirements.txt</w:t>
            </w:r>
          </w:p>
        </w:tc>
        <w:tc>
          <w:tcPr>
            <w:tcW w:type="dxa" w:w="55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Pinned Python dependencies</w:t>
            </w:r>
          </w:p>
        </w:tc>
      </w:tr>
      <w:tr>
        <w:tc>
          <w:tcPr>
            <w:tcW w:type="dxa" w:w="3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README.md</w:t>
            </w:r>
          </w:p>
        </w:tc>
        <w:tc>
          <w:tcPr>
            <w:tcW w:type="dxa" w:w="55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Project overview and quick start guide</w:t>
            </w:r>
          </w:p>
        </w:tc>
      </w:tr>
    </w:tbl>
    <w:p>
      <w:pPr>
        <w:spacing w:after="60"/>
      </w:pPr>
    </w:p>
    <w:p>
      <w:pPr>
        <w:pStyle w:val="Heading2"/>
        <w:spacing w:after="140" w:before="280"/>
      </w:pPr>
      <w:r>
        <w:rPr>
          <w:rFonts w:ascii="Calibri" w:cs="Calibri" w:eastAsia="Calibri" w:hAnsi="Calibri"/>
          <w:b/>
          <w:bCs/>
          <w:color w:val="28251D"/>
          <w:sz w:val="26"/>
          <w:szCs w:val="26"/>
        </w:rPr>
        <w:t xml:space="preserve">8.4 Idempotency and Caching</w:t>
      </w:r>
    </w:p>
    <w:p>
      <w:pPr>
        <w:spacing w:after="120" w:line="276"/>
      </w:pPr>
      <w:r>
        <w:rPr>
          <w:rFonts w:ascii="Calibri" w:cs="Calibri" w:eastAsia="Calibri" w:hAnsi="Calibri"/>
          <w:sz w:val="22"/>
          <w:szCs w:val="22"/>
        </w:rPr>
        <w:t xml:space="preserve">The pipeline is designed to be idempotent: re-running any phase produces identical output given the same input data. All intermediate data are cached in MotherDuck cloud (persistent, shareable). The pipeline_log table tracks ETL task completion for safe resume after interruption.</w:t>
      </w:r>
    </w:p>
    <w:p>
      <w:pPr>
        <w:pStyle w:val="Heading2"/>
        <w:spacing w:after="140" w:before="280"/>
      </w:pPr>
      <w:r>
        <w:rPr>
          <w:rFonts w:ascii="Calibri" w:cs="Calibri" w:eastAsia="Calibri" w:hAnsi="Calibri"/>
          <w:b/>
          <w:bCs/>
          <w:color w:val="28251D"/>
          <w:sz w:val="26"/>
          <w:szCs w:val="26"/>
        </w:rPr>
        <w:t xml:space="preserve">8.5 Reporting Compliance</w:t>
      </w:r>
    </w:p>
    <w:p>
      <w:pPr>
        <w:spacing w:after="120" w:line="276"/>
      </w:pPr>
      <w:r>
        <w:rPr>
          <w:rFonts w:ascii="Calibri" w:cs="Calibri" w:eastAsia="Calibri" w:hAnsi="Calibri"/>
          <w:sz w:val="22"/>
          <w:szCs w:val="22"/>
        </w:rPr>
        <w:t xml:space="preserve">The study follows STROBE (Strengthening the Reporting of Observational Studies in Epidemiology) guidelines for observational studies and RECORD (Reporting of Studies Conducted Using Observational Routinely Collected Health Data) extension for routinely collected data. Checklists will be included as supplementary materials with the manuscript submission.</w:t>
      </w:r>
    </w:p>
    <w:p>
      <w:r>
        <w:br w:type="page"/>
      </w:r>
    </w:p>
    <w:p>
      <w:pPr>
        <w:pStyle w:val="Heading1"/>
        <w:spacing w:after="200" w:before="360"/>
      </w:pPr>
      <w:r>
        <w:rPr>
          <w:rFonts w:ascii="Calibri" w:cs="Calibri" w:eastAsia="Calibri" w:hAnsi="Calibri"/>
          <w:b/>
          <w:bCs/>
          <w:color w:val="01696F"/>
          <w:sz w:val="32"/>
          <w:szCs w:val="32"/>
        </w:rPr>
        <w:t xml:space="preserve">9. Remaining Steps to Publication</w:t>
      </w:r>
    </w:p>
    <w:p>
      <w:pPr>
        <w:spacing w:after="120" w:line="276"/>
      </w:pPr>
      <w:r>
        <w:rPr>
          <w:rFonts w:ascii="Calibri" w:cs="Calibri" w:eastAsia="Calibri" w:hAnsi="Calibri"/>
          <w:sz w:val="22"/>
          <w:szCs w:val="22"/>
        </w:rPr>
        <w:t xml:space="preserve">The following steps remain to complete the study and prepare the manuscript for submission:</w:t>
      </w:r>
    </w:p>
    <w:p>
      <w:pPr>
        <w:spacing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100"/>
        <w:gridCol w:w="3760"/>
        <w:gridCol w:w="1300"/>
      </w:tblGrid>
      <w:tr>
        <w:trPr>
          <w:tblHeader/>
        </w:trPr>
        <w:tc>
          <w:tcPr>
            <w:tcW w:type="dxa" w:w="4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Task</w:t>
            </w:r>
          </w:p>
        </w:tc>
        <w:tc>
          <w:tcPr>
            <w:tcW w:type="dxa" w:w="11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Status</w:t>
            </w:r>
          </w:p>
        </w:tc>
        <w:tc>
          <w:tcPr>
            <w:tcW w:type="dxa" w:w="376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Description</w:t>
            </w:r>
          </w:p>
        </w:tc>
        <w:tc>
          <w:tcPr>
            <w:tcW w:type="dxa" w:w="13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ETA</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Complete SIH 12-month download</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In Progress</w:t>
            </w:r>
          </w:p>
        </w:tc>
        <w:tc>
          <w:tcPr>
            <w:tcW w:type="dxa" w:w="37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Download all 12 months × 9 years × 27 states of SIH data on NAS. Push to MotherDuck to replace December-only snapshots.</w:t>
            </w:r>
          </w:p>
        </w:tc>
        <w:tc>
          <w:tcPr>
            <w:tcW w:type="dxa" w:w="13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April 2026</w:t>
            </w:r>
          </w:p>
        </w:tc>
      </w:tr>
      <w:tr>
        <w:tc>
          <w:tcPr>
            <w:tcW w:type="dxa" w:w="4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2</w:t>
            </w:r>
          </w:p>
        </w:tc>
        <w:tc>
          <w:tcPr>
            <w:tcW w:type="dxa" w:w="1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Complete CNES 12-month download</w:t>
            </w:r>
          </w:p>
        </w:tc>
        <w:tc>
          <w:tcPr>
            <w:tcW w:type="dxa" w:w="11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In Progress</w:t>
            </w:r>
          </w:p>
        </w:tc>
        <w:tc>
          <w:tcPr>
            <w:tcW w:type="dxa" w:w="37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Download all 12 months × 9 years × 27 states of CNES professional data. Same process as SIH.</w:t>
            </w:r>
          </w:p>
        </w:tc>
        <w:tc>
          <w:tcPr>
            <w:tcW w:type="dxa" w:w="13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April 2026</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Re-run pipeline with 12-month data</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Pending</w:t>
            </w:r>
          </w:p>
        </w:tc>
        <w:tc>
          <w:tcPr>
            <w:tcW w:type="dxa" w:w="37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Annualized data eliminates seasonal bias from December-only snapshots. Expected to improve model performance.</w:t>
            </w:r>
          </w:p>
        </w:tc>
        <w:tc>
          <w:tcPr>
            <w:tcW w:type="dxa" w:w="13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April 2026</w:t>
            </w:r>
          </w:p>
        </w:tc>
      </w:tr>
      <w:tr>
        <w:tc>
          <w:tcPr>
            <w:tcW w:type="dxa" w:w="4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4</w:t>
            </w:r>
          </w:p>
        </w:tc>
        <w:tc>
          <w:tcPr>
            <w:tcW w:type="dxa" w:w="1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Full statistical plan</w:t>
            </w:r>
          </w:p>
        </w:tc>
        <w:tc>
          <w:tcPr>
            <w:tcW w:type="dxa" w:w="11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Pending</w:t>
            </w:r>
          </w:p>
        </w:tc>
        <w:tc>
          <w:tcPr>
            <w:tcW w:type="dxa" w:w="37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PCA (dimension reduction validation), clustering (municipality typology), SEM (causal pathway testing), spatial regression (Moran's I, spatial lag/error models).</w:t>
            </w:r>
          </w:p>
        </w:tc>
        <w:tc>
          <w:tcPr>
            <w:tcW w:type="dxa" w:w="13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May 2026</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Publication figures</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Pending</w:t>
            </w:r>
          </w:p>
        </w:tc>
        <w:tc>
          <w:tcPr>
            <w:tcW w:type="dxa" w:w="37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Choropleth maps, dose-response curves, SHAP beeswarm plots, regional comparison forest plots.</w:t>
            </w:r>
          </w:p>
        </w:tc>
        <w:tc>
          <w:tcPr>
            <w:tcW w:type="dxa" w:w="13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May 2026</w:t>
            </w:r>
          </w:p>
        </w:tc>
      </w:tr>
      <w:tr>
        <w:tc>
          <w:tcPr>
            <w:tcW w:type="dxa" w:w="4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6</w:t>
            </w:r>
          </w:p>
        </w:tc>
        <w:tc>
          <w:tcPr>
            <w:tcW w:type="dxa" w:w="18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Write manuscript</w:t>
            </w:r>
          </w:p>
        </w:tc>
        <w:tc>
          <w:tcPr>
            <w:tcW w:type="dxa" w:w="11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Pending</w:t>
            </w:r>
          </w:p>
        </w:tc>
        <w:tc>
          <w:tcPr>
            <w:tcW w:type="dxa" w:w="37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IMRAD format. Introduction, Methods, Results, Discussion. STROBE/RECORD checklists. Target: 4,000 words + tables/figures.</w:t>
            </w:r>
          </w:p>
        </w:tc>
        <w:tc>
          <w:tcPr>
            <w:tcW w:type="dxa" w:w="13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June 2026</w:t>
            </w:r>
          </w:p>
        </w:tc>
      </w:tr>
      <w:tr>
        <w:tc>
          <w:tcPr>
            <w:tcW w:type="dxa" w:w="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7</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Submit to BMJ Global Health</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Pending</w:t>
            </w:r>
          </w:p>
        </w:tc>
        <w:tc>
          <w:tcPr>
            <w:tcW w:type="dxa" w:w="37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Primary target journal. Alternative: World Journal of Surgery.</w:t>
            </w:r>
          </w:p>
        </w:tc>
        <w:tc>
          <w:tcPr>
            <w:tcW w:type="dxa" w:w="13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July 2026</w:t>
            </w:r>
          </w:p>
        </w:tc>
      </w:tr>
    </w:tbl>
    <w:p>
      <w:r>
        <w:br w:type="page"/>
      </w:r>
    </w:p>
    <w:p>
      <w:pPr>
        <w:pStyle w:val="Heading1"/>
        <w:spacing w:after="200" w:before="360"/>
      </w:pPr>
      <w:r>
        <w:rPr>
          <w:rFonts w:ascii="Calibri" w:cs="Calibri" w:eastAsia="Calibri" w:hAnsi="Calibri"/>
          <w:b/>
          <w:bCs/>
          <w:color w:val="01696F"/>
          <w:sz w:val="32"/>
          <w:szCs w:val="32"/>
        </w:rPr>
        <w:t xml:space="preserve">10. File Inventory</w:t>
      </w:r>
    </w:p>
    <w:p>
      <w:pPr>
        <w:spacing w:after="120" w:line="276"/>
      </w:pPr>
      <w:r>
        <w:rPr>
          <w:rFonts w:ascii="Calibri" w:cs="Calibri" w:eastAsia="Calibri" w:hAnsi="Calibri"/>
          <w:sz w:val="22"/>
          <w:szCs w:val="22"/>
        </w:rPr>
        <w:t xml:space="preserve">The following table lists all key files in the project repository and distribution package: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File / Directory</w:t>
            </w:r>
          </w:p>
        </w:tc>
        <w:tc>
          <w:tcPr>
            <w:tcW w:type="dxa" w:w="120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Type</w:t>
            </w:r>
          </w:p>
        </w:tc>
        <w:tc>
          <w:tcPr>
            <w:tcW w:type="dxa" w:w="4960"/>
            <w:tcBorders>
              <w:top w:val="single" w:color="CCCCCC" w:sz="1"/>
              <w:left w:val="single" w:color="CCCCCC" w:sz="1"/>
              <w:bottom w:val="single" w:color="CCCCCC" w:sz="1"/>
              <w:right w:val="single" w:color="CCCCCC" w:sz="1"/>
            </w:tcBorders>
            <w:shd w:fill="1B474D" w:val="clear"/>
            <w:tcMar>
              <w:top w:type="dxa" w:w="50"/>
              <w:left w:type="dxa" w:w="80"/>
              <w:bottom w:type="dxa" w:w="50"/>
              <w:right w:type="dxa" w:w="80"/>
            </w:tcMar>
            <w:vAlign w:val="center"/>
          </w:tcPr>
          <w:p>
            <w:pPr>
              <w:spacing w:after="0"/>
            </w:pPr>
            <w:r>
              <w:rPr>
                <w:rFonts w:ascii="Calibri" w:cs="Calibri" w:eastAsia="Calibri" w:hAnsi="Calibri"/>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ICSKG-BR_Data_Process_and_Reproducibility.docx</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Documentation</w:t>
            </w:r>
          </w:p>
        </w:tc>
        <w:tc>
          <w:tcPr>
            <w:tcW w:type="dxa" w:w="49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This document — complete technical reference for data pipeline and reproducibility</w:t>
            </w:r>
          </w:p>
        </w:tc>
      </w:tr>
      <w:tr>
        <w:tc>
          <w:tcPr>
            <w:tcW w:type="dxa" w:w="3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analysis/icskg_analysis_pipeline.py</w:t>
            </w:r>
          </w:p>
        </w:tc>
        <w:tc>
          <w:tcPr>
            <w:tcW w:type="dxa" w:w="1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Python script</w:t>
            </w:r>
          </w:p>
        </w:tc>
        <w:tc>
          <w:tcPr>
            <w:tcW w:type="dxa" w:w="49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Main analysis pipeline: 8 phases from data validation through export</w:t>
            </w:r>
          </w:p>
        </w:tc>
      </w:tr>
      <w:tr>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scripts/continue_raw_download.py</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Python script</w:t>
            </w:r>
          </w:p>
        </w:tc>
        <w:tc>
          <w:tcPr>
            <w:tcW w:type="dxa" w:w="49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Resumable SIH/CNES raw data downloader for NAS storage</w:t>
            </w:r>
          </w:p>
        </w:tc>
      </w:tr>
      <w:tr>
        <w:tc>
          <w:tcPr>
            <w:tcW w:type="dxa" w:w="3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scripts/download_ans.py</w:t>
            </w:r>
          </w:p>
        </w:tc>
        <w:tc>
          <w:tcPr>
            <w:tcW w:type="dxa" w:w="1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Python script</w:t>
            </w:r>
          </w:p>
        </w:tc>
        <w:tc>
          <w:tcPr>
            <w:tcW w:type="dxa" w:w="49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ANS private insurance coverage data downloader</w:t>
            </w:r>
          </w:p>
        </w:tc>
      </w:tr>
      <w:tr>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scripts/load_to_motherduck.py</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Python script</w:t>
            </w:r>
          </w:p>
        </w:tc>
        <w:tc>
          <w:tcPr>
            <w:tcW w:type="dxa" w:w="49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ETL script: transforms raw data and loads into MotherDuck</w:t>
            </w:r>
          </w:p>
        </w:tc>
      </w:tr>
      <w:tr>
        <w:tc>
          <w:tcPr>
            <w:tcW w:type="dxa" w:w="3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scripts/download_ibge.py</w:t>
            </w:r>
          </w:p>
        </w:tc>
        <w:tc>
          <w:tcPr>
            <w:tcW w:type="dxa" w:w="1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Python script</w:t>
            </w:r>
          </w:p>
        </w:tc>
        <w:tc>
          <w:tcPr>
            <w:tcW w:type="dxa" w:w="49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IBGE SIDRA API client for population and GDP data</w:t>
            </w:r>
          </w:p>
        </w:tc>
      </w:tr>
      <w:tr>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scripts/download_ipea.py</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Python script</w:t>
            </w:r>
          </w:p>
        </w:tc>
        <w:tc>
          <w:tcPr>
            <w:tcW w:type="dxa" w:w="49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IPEA Data API client for IDHM indicators</w:t>
            </w:r>
          </w:p>
        </w:tc>
      </w:tr>
      <w:tr>
        <w:tc>
          <w:tcPr>
            <w:tcW w:type="dxa" w:w="3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scripts/download_cnes_bellwether.py</w:t>
            </w:r>
          </w:p>
        </w:tc>
        <w:tc>
          <w:tcPr>
            <w:tcW w:type="dxa" w:w="1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Python script</w:t>
            </w:r>
          </w:p>
        </w:tc>
        <w:tc>
          <w:tcPr>
            <w:tcW w:type="dxa" w:w="49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CNES API client for bellwether hospital identification</w:t>
            </w:r>
          </w:p>
        </w:tc>
      </w:tr>
      <w:tr>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scripts/compute_lcogs1.py</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Python script</w:t>
            </w:r>
          </w:p>
        </w:tc>
        <w:tc>
          <w:tcPr>
            <w:tcW w:type="dxa" w:w="49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Haversine distance calculations for bellwether access</w:t>
            </w:r>
          </w:p>
        </w:tc>
      </w:tr>
      <w:tr>
        <w:tc>
          <w:tcPr>
            <w:tcW w:type="dxa" w:w="3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data/firjan/Evolucao_por_Indicador_*.xlsx</w:t>
            </w:r>
          </w:p>
        </w:tc>
        <w:tc>
          <w:tcPr>
            <w:tcW w:type="dxa" w:w="1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Excel</w:t>
            </w:r>
          </w:p>
        </w:tc>
        <w:tc>
          <w:tcPr>
            <w:tcW w:type="dxa" w:w="49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Raw FIRJAN IFGF data (2013–2024)</w:t>
            </w:r>
          </w:p>
        </w:tc>
      </w:tr>
      <w:tr>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data/renavam/frota_dez2022.csv</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CSV</w:t>
            </w:r>
          </w:p>
        </w:tc>
        <w:tc>
          <w:tcPr>
            <w:tcW w:type="dxa" w:w="49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Raw RENAVAM vehicle fleet data (Dec 2022)</w:t>
            </w:r>
          </w:p>
        </w:tc>
      </w:tr>
      <w:tr>
        <w:tc>
          <w:tcPr>
            <w:tcW w:type="dxa" w:w="3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results/panel_dataset.parquet</w:t>
            </w:r>
          </w:p>
        </w:tc>
        <w:tc>
          <w:tcPr>
            <w:tcW w:type="dxa" w:w="1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Parquet</w:t>
            </w:r>
          </w:p>
        </w:tc>
        <w:tc>
          <w:tcPr>
            <w:tcW w:type="dxa" w:w="49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Final analysis-ready panel dataset (50,130 × 73)</w:t>
            </w:r>
          </w:p>
        </w:tc>
      </w:tr>
      <w:tr>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results/panel_dataset.csv</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CSV</w:t>
            </w:r>
          </w:p>
        </w:tc>
        <w:tc>
          <w:tcPr>
            <w:tcW w:type="dxa" w:w="49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Same panel dataset in CSV format for broader compatibility</w:t>
            </w:r>
          </w:p>
        </w:tc>
      </w:tr>
      <w:tr>
        <w:tc>
          <w:tcPr>
            <w:tcW w:type="dxa" w:w="3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results/metadata.json</w:t>
            </w:r>
          </w:p>
        </w:tc>
        <w:tc>
          <w:tcPr>
            <w:tcW w:type="dxa" w:w="1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JSON</w:t>
            </w:r>
          </w:p>
        </w:tc>
        <w:tc>
          <w:tcPr>
            <w:tcW w:type="dxa" w:w="49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Pipeline run metadata: timestamps, row counts, version info</w:t>
            </w:r>
          </w:p>
        </w:tc>
      </w:tr>
      <w:tr>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results/figures/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PNG files</w:t>
            </w:r>
          </w:p>
        </w:tc>
        <w:tc>
          <w:tcPr>
            <w:tcW w:type="dxa" w:w="49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All generated figures: choropleths, regression plots, SHAP plots</w:t>
            </w:r>
          </w:p>
        </w:tc>
      </w:tr>
      <w:tr>
        <w:tc>
          <w:tcPr>
            <w:tcW w:type="dxa" w:w="3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requirements.txt</w:t>
            </w:r>
          </w:p>
        </w:tc>
        <w:tc>
          <w:tcPr>
            <w:tcW w:type="dxa" w:w="1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Text</w:t>
            </w:r>
          </w:p>
        </w:tc>
        <w:tc>
          <w:tcPr>
            <w:tcW w:type="dxa" w:w="49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Pinned Python package dependencies</w:t>
            </w:r>
          </w:p>
        </w:tc>
      </w:tr>
      <w:tr>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b/>
                <w:bCs/>
                <w:sz w:val="18"/>
                <w:szCs w:val="18"/>
              </w:rPr>
              <w:t xml:space="preserve">README.md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Markdown</w:t>
            </w:r>
          </w:p>
        </w:tc>
        <w:tc>
          <w:tcPr>
            <w:tcW w:type="dxa" w:w="49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0"/>
            </w:pPr>
            <w:r>
              <w:rPr>
                <w:rFonts w:ascii="Calibri" w:cs="Calibri" w:eastAsia="Calibri" w:hAnsi="Calibri"/>
                <w:sz w:val="18"/>
                <w:szCs w:val="18"/>
              </w:rPr>
              <w:t xml:space="preserve">Project overview, quick start, and contributor guide</w:t>
            </w:r>
          </w:p>
        </w:tc>
      </w:tr>
      <w:tr>
        <w:tc>
          <w:tcPr>
            <w:tcW w:type="dxa" w:w="3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b/>
                <w:bCs/>
                <w:sz w:val="18"/>
                <w:szCs w:val="18"/>
              </w:rPr>
              <w:t xml:space="preserve">.env.example</w:t>
            </w:r>
          </w:p>
        </w:tc>
        <w:tc>
          <w:tcPr>
            <w:tcW w:type="dxa" w:w="120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Config</w:t>
            </w:r>
          </w:p>
        </w:tc>
        <w:tc>
          <w:tcPr>
            <w:tcW w:type="dxa" w:w="4960"/>
            <w:tcBorders>
              <w:top w:val="single" w:color="CCCCCC" w:sz="1"/>
              <w:left w:val="single" w:color="CCCCCC" w:sz="1"/>
              <w:bottom w:val="single" w:color="CCCCCC" w:sz="1"/>
              <w:right w:val="single" w:color="CCCCCC" w:sz="1"/>
            </w:tcBorders>
            <w:shd w:fill="F5F9FA" w:val="clear"/>
            <w:tcMar>
              <w:top w:type="dxa" w:w="40"/>
              <w:left w:type="dxa" w:w="80"/>
              <w:bottom w:type="dxa" w:w="40"/>
              <w:right w:type="dxa" w:w="80"/>
            </w:tcMar>
          </w:tcPr>
          <w:p>
            <w:pPr>
              <w:spacing w:after="0"/>
            </w:pPr>
            <w:r>
              <w:rPr>
                <w:rFonts w:ascii="Calibri" w:cs="Calibri" w:eastAsia="Calibri" w:hAnsi="Calibri"/>
                <w:sz w:val="18"/>
                <w:szCs w:val="18"/>
              </w:rPr>
              <w:t xml:space="preserve">Template for environment variables (MotherDuck token)</w:t>
            </w:r>
          </w:p>
        </w:tc>
      </w:tr>
    </w:tbl>
    <w:p>
      <w:pPr>
        <w:spacing w:after="60"/>
      </w:pPr>
    </w:p>
    <w:p>
      <w:pPr>
        <w:pBdr>
          <w:top w:val="single" w:color="01696F" w:sz="2"/>
        </w:pBdr>
        <w:spacing w:after="0" w:before="200"/>
      </w:pPr>
    </w:p>
    <w:p>
      <w:pPr>
        <w:spacing w:after="60"/>
      </w:pPr>
    </w:p>
    <w:p>
      <w:pPr>
        <w:spacing w:after="120" w:line="276"/>
      </w:pPr>
      <w:r>
        <w:rPr>
          <w:rFonts w:ascii="Calibri" w:cs="Calibri" w:eastAsia="Calibri" w:hAnsi="Calibri"/>
          <w:i/>
          <w:iCs/>
          <w:sz w:val="22"/>
          <w:szCs w:val="22"/>
        </w:rPr>
        <w:t xml:space="preserve">This document was generated on March 31, 2026 and reflects the state of the ICSKG-BR project with 9/9 CIMI dimensions successfully mapped. For questions or to request MotherDuck access, contact the ICSKG-BR Research Team via the GitHub repository.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ICSKG-BR: Data Process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1696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8251D"/>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ICSKG-BR: Data Process Documentation and Reproducibility Guide</dc:title>
  <dc:creator>ICSKG-BR Research Team</dc:creator>
  <dc:description>Complete technical reference for the ICSKG-BR data pipeline</dc:description>
  <cp:lastModifiedBy>Un-named</cp:lastModifiedBy>
  <cp:revision>1</cp:revision>
  <dcterms:created xsi:type="dcterms:W3CDTF">2026-03-31T10:25:33.254Z</dcterms:created>
  <dcterms:modified xsi:type="dcterms:W3CDTF">2026-03-31T10:25:33.279Z</dcterms:modified>
</cp:coreProperties>
</file>

<file path=docProps/custom.xml><?xml version="1.0" encoding="utf-8"?>
<Properties xmlns="http://schemas.openxmlformats.org/officeDocument/2006/custom-properties" xmlns:vt="http://schemas.openxmlformats.org/officeDocument/2006/docPropsVTypes"/>
</file>