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left"/>
      </w:pPr>
      <w:r>
        <w:rPr>
          <w:rFonts w:ascii="Arial" w:cs="Arial" w:eastAsia="Arial" w:hAnsi="Arial"/>
          <w:b/>
          <w:bCs/>
          <w:color w:val="01696F"/>
          <w:sz w:val="56"/>
          <w:szCs w:val="56"/>
        </w:rPr>
        <w:t xml:space="preserve">ICSKG-BR</w:t>
      </w:r>
    </w:p>
    <w:p>
      <w:pPr>
        <w:spacing w:after="200"/>
        <w:jc w:val="left"/>
      </w:pPr>
      <w:r>
        <w:rPr>
          <w:rFonts w:ascii="Arial" w:cs="Arial" w:eastAsia="Arial" w:hAnsi="Arial"/>
          <w:i/>
          <w:iCs/>
          <w:color w:val="1B474D"/>
          <w:sz w:val="28"/>
          <w:szCs w:val="28"/>
        </w:rPr>
        <w:t xml:space="preserve">Index of Cities' Smartness &amp; Knowledge for Global Surgery — Brazil</w:t>
      </w:r>
    </w:p>
    <w:p>
      <w:pPr>
        <w:spacing w:after="0"/>
      </w:pPr>
      <w:r>
        <w:rPr>
          <w:color w:val="01696F"/>
          <w:sz w:val="20"/>
          <w:szCs w:val="20"/>
        </w:rPr>
        <w:t xml:space="preserve">━━━━━━━━━━━━━━━━━━━━━━━━━━━━━━━━━━━━━━━━━━━━━━━━━━━━━━━━━━━━</w:t>
      </w:r>
    </w:p>
    <w:p>
      <w:pPr>
        <w:spacing w:after="120" w:before="400"/>
        <w:jc w:val="left"/>
      </w:pPr>
      <w:r>
        <w:rPr>
          <w:rFonts w:ascii="Arial" w:cs="Arial" w:eastAsia="Arial" w:hAnsi="Arial"/>
          <w:b/>
          <w:bCs/>
          <w:color w:val="28251D"/>
          <w:sz w:val="28"/>
          <w:szCs w:val="28"/>
        </w:rPr>
        <w:t xml:space="preserve">Municipal Urban Development and Surgical System Performance in Brazil: A Panel Study Operationalizing the IESE Cities in Motion Framework with Lancet Commission on Global Surgery Indicators Across 5,570 Municipalities, 2015–2023</w:t>
      </w:r>
    </w:p>
    <w:p>
      <w:pPr>
        <w:spacing w:after="80" w:before="200"/>
        <w:jc w:val="left"/>
      </w:pPr>
      <w:r>
        <w:rPr>
          <w:rFonts w:ascii="Arial" w:cs="Arial" w:eastAsia="Arial" w:hAnsi="Arial"/>
          <w:color w:val="7A7974"/>
          <w:sz w:val="24"/>
          <w:szCs w:val="24"/>
        </w:rPr>
        <w:t xml:space="preserve">Study Protocol</w:t>
      </w:r>
    </w:p>
    <w:p>
      <w:pPr>
        <w:spacing w:after="80" w:before="600"/>
        <w:jc w:val="left"/>
      </w:pPr>
      <w:r>
        <w:rPr>
          <w:rFonts w:ascii="Arial" w:cs="Arial" w:eastAsia="Arial" w:hAnsi="Arial"/>
          <w:color w:val="7A7974"/>
          <w:sz w:val="22"/>
          <w:szCs w:val="22"/>
        </w:rPr>
        <w:t xml:space="preserve">Version 2.0  |  March 2026</w:t>
      </w:r>
    </w:p>
    <w:p>
      <w:pPr>
        <w:spacing w:after="80" w:before="80"/>
        <w:jc w:val="left"/>
      </w:pPr>
      <w:r>
        <w:rPr>
          <w:rFonts w:ascii="Arial" w:cs="Arial" w:eastAsia="Arial" w:hAnsi="Arial"/>
          <w:color w:val="7A7974"/>
          <w:sz w:val="22"/>
          <w:szCs w:val="22"/>
        </w:rPr>
        <w:t xml:space="preserve">STROBE/RECORD Compliant</w:t>
      </w:r>
    </w:p>
    <w:p>
      <w:pPr>
        <w:spacing w:after="40" w:before="400"/>
        <w:jc w:val="left"/>
      </w:pPr>
      <w:r>
        <w:rPr>
          <w:rFonts w:ascii="Arial" w:cs="Arial" w:eastAsia="Arial" w:hAnsi="Arial"/>
          <w:b/>
          <w:bCs/>
          <w:color w:val="28251D"/>
          <w:sz w:val="20"/>
          <w:szCs w:val="20"/>
        </w:rPr>
        <w:t xml:space="preserve">Reporting Guidelines:</w:t>
      </w:r>
    </w:p>
    <w:p>
      <w:pPr>
        <w:spacing w:after="40"/>
        <w:ind w:left="360"/>
        <w:jc w:val="left"/>
      </w:pPr>
      <w:r>
        <w:rPr>
          <w:rFonts w:ascii="Arial" w:cs="Arial" w:eastAsia="Arial" w:hAnsi="Arial"/>
          <w:color w:val="7A7974"/>
          <w:sz w:val="20"/>
          <w:szCs w:val="20"/>
        </w:rPr>
        <w:t xml:space="preserve">STROBE Statement for Observational Studies</w:t>
      </w:r>
    </w:p>
    <w:p>
      <w:pPr>
        <w:spacing w:after="40"/>
        <w:ind w:left="360"/>
        <w:jc w:val="left"/>
      </w:pPr>
      <w:r>
        <w:rPr>
          <w:rFonts w:ascii="Arial" w:cs="Arial" w:eastAsia="Arial" w:hAnsi="Arial"/>
          <w:color w:val="7A7974"/>
          <w:sz w:val="20"/>
          <w:szCs w:val="20"/>
        </w:rPr>
        <w:t xml:space="preserve">RECORD Extension for Routinely Collected Health Data</w:t>
      </w:r>
    </w:p>
    <w:p>
      <w:pPr>
        <w:sectPr>
          <w:pgSz w:w="12240" w:h="15840" w:orient="portrait"/>
          <w:pgMar w:top="2880" w:right="1440" w:bottom="1440" w:left="1440" w:header="708" w:footer="708" w:gutter="0"/>
          <w:pgNumType/>
          <w:docGrid w:linePitch="360"/>
        </w:sectPr>
      </w:pPr>
    </w:p>
    <w:p>
      <w:pPr>
        <w:pStyle w:val="Heading1"/>
        <w:spacing w:after="120" w:before="360" w:line="360"/>
        <w:jc w:val="left"/>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line="360"/>
        <w:jc w:val="left"/>
      </w:pPr>
      <w:r>
        <w:t xml:space="preserve">1. Introduction</w:t>
      </w:r>
    </w:p>
    <w:p>
      <w:pPr>
        <w:pStyle w:val="Heading2"/>
        <w:spacing w:after="120" w:before="240" w:line="360"/>
        <w:jc w:val="left"/>
      </w:pPr>
      <w:r>
        <w:t xml:space="preserve">1.1 Background</w:t>
      </w:r>
    </w:p>
    <w:p>
      <w:pPr>
        <w:spacing w:after="120" w:before="0" w:line="360"/>
        <w:jc w:val="both"/>
      </w:pPr>
      <w:r>
        <w:rPr>
          <w:b/>
          <w:bCs/>
        </w:rPr>
        <w:t xml:space="preserve">An estimated five billion people worldwide lack access to safe, affordable, and timely surgical care</w:t>
      </w:r>
      <w:r>
        <w:t xml:space="preserve">. The Lancet Commission on Global Surgery (LCoGS), published in 2015, established the most comprehensive framework to date for assessing surgical system performance at national and subnational levels.</w:t>
      </w:r>
      <w:r>
        <w:rPr>
          <w:rStyle w:val="FootnoteReference"/>
        </w:rPr>
        <w:footnoteReference w:id="1"/>
      </w:r>
      <w:r>
        <w:t xml:space="preserve"> The Commission proposed six core indicators spanning access to care (bellwether procedures, surgical workforce density, surgical volume), safety (perioperative mortality rate), and financial risk protection (catastrophic and impoverishing expenditure). These indicators collectively define the minimum standards that every country should achieve by 2030 to ensure universal access to essential surgical care.</w:t>
      </w:r>
    </w:p>
    <w:p>
      <w:pPr>
        <w:spacing w:after="120" w:before="0" w:line="360"/>
        <w:jc w:val="both"/>
      </w:pPr>
      <w:r>
        <w:t xml:space="preserve">Brazil occupies a unique position in the global surgery landscape. As an upper-middle-income country with a constitutionally mandated universal health system (Sistema Único de Saúde, SUS), it possesses the institutional framework for equitable surgical access. Yet, the country exhibits some of the world's most extreme internal disparities, spanning a territory of 8.5 million km² with 5,570 municipalities ranging from megacities of 12 million inhabitants to remote Amazonian communities of fewer than 2,000 people.</w:t>
      </w:r>
    </w:p>
    <w:p>
      <w:pPr>
        <w:spacing w:after="120" w:before="0" w:line="360"/>
        <w:jc w:val="both"/>
      </w:pPr>
      <w:r>
        <w:t xml:space="preserve">Massenburg et al. (2017) conducted the first comprehensive assessment of LCoGS indicators in Brazil, calculating national and state-level values for all six surgical indicators.</w:t>
      </w:r>
      <w:r>
        <w:rPr>
          <w:rStyle w:val="FootnoteReference"/>
        </w:rPr>
        <w:footnoteReference w:id="2"/>
      </w:r>
      <w:r>
        <w:t xml:space="preserve"> Their analysis revealed significant geographic disparities between Brazilian macro-regions, with the North and Northeast consistently underperforming the South and Southeast across all indicators. However, state-level analysis obscures substantial within-state variation: a state capital with tertiary hospitals and a rural municipality 500 km away may fall within the same state aggregate yet represent vastly different surgical realities.</w:t>
      </w:r>
    </w:p>
    <w:p>
      <w:pPr>
        <w:spacing w:after="120" w:before="0" w:line="360"/>
        <w:jc w:val="both"/>
      </w:pPr>
      <w:r>
        <w:t xml:space="preserve">More recently, Trindade, Brandão, and Motter (2023) conducted the first municipal-level geospatial analysis of LCoGS indicators in Brazil, focusing on the state of Rio Grande do Sul.</w:t>
      </w:r>
      <w:r>
        <w:rPr>
          <w:rStyle w:val="FootnoteReference"/>
        </w:rPr>
        <w:footnoteReference w:id="16"/>
      </w:r>
      <w:r>
        <w:t xml:space="preserve"> Their analysis found that 47.8% of RS municipalities had zero surgeons, with a mean travel distance to surgical care of 30.25 km (maximum 268 km). This study represented a critical advance by demonstrating the feasibility and importance of municipal-level LCoGS assessment, but was limited to a single state. Several Brazilian open-data platforms now provide pre-built municipal-level indicators that can support nationwide analysis: the PCDaS/POLIS platform (Fiocruz ICICT) offers municipal health outcomes and social vulnerability indicators for all 5,570 municipalities; the Connected Smart Cities Ranking (Urban Systems) evaluates 656 Brazilian cities across 74 indicators aligned with ISO 37122; and the IDSC-BR (Instituto Cidades Sustentáveis / UN SDSN) provides SDG-aligned indices for all 5,570 municipalities across 100 indicators.</w:t>
      </w:r>
    </w:p>
    <w:p>
      <w:pPr>
        <w:spacing w:after="120" w:before="0" w:line="360"/>
        <w:jc w:val="both"/>
      </w:pPr>
      <w:r>
        <w:t xml:space="preserve">The present study builds on this evolving evidence base in a clear progression: Massenburg et al. (2017) established national and state-level LCoGS benchmarks for Brazil; Trindade et al. (2023) advanced the analysis to the municipal level within a single state using geospatial methods; and this study extends the framework to all 5,570 Brazilian municipalities, overlaying an urban development composite index based on the IESE Cities in Motion framework, across a nine-year panel (2015–2023). This represents the first study in any country to systematically cross-reference municipal-level urban development profiles with LCoGS surgical indicators.</w:t>
      </w:r>
    </w:p>
    <w:p>
      <w:pPr>
        <w:pStyle w:val="Heading2"/>
        <w:spacing w:after="120" w:before="240" w:line="360"/>
        <w:jc w:val="left"/>
      </w:pPr>
      <w:r>
        <w:t xml:space="preserve">1.2 Smart Cities and Urban Development</w:t>
      </w:r>
    </w:p>
    <w:p>
      <w:pPr>
        <w:spacing w:after="120" w:before="0" w:line="360"/>
        <w:jc w:val="both"/>
      </w:pPr>
      <w:r>
        <w:t xml:space="preserve">The smart city and knowledge city literature provides a complementary lens for understanding the determinants of municipal performance. The IESE Cities in Motion Index (CIMI), developed by IESE Business School, ranks cities globally across nine dimensions: human capital, social cohesion, economy, governance, environment, mobility and transportation, urban planning, international projection, and technology.</w:t>
      </w:r>
      <w:r>
        <w:rPr>
          <w:rStyle w:val="FootnoteReference"/>
        </w:rPr>
        <w:footnoteReference w:id="3"/>
      </w:r>
      <w:r>
        <w:t xml:space="preserve"> These dimensions capture the systemic factors—education levels, digital infrastructure, fiscal capacity, environmental quality, transportation networks—that shape a municipality's ability to deliver complex public services, including surgical care.</w:t>
      </w:r>
    </w:p>
    <w:p>
      <w:pPr>
        <w:spacing w:after="120" w:before="0" w:line="360"/>
        <w:jc w:val="both"/>
      </w:pPr>
      <w:r>
        <w:t xml:space="preserve">Growing evidence links urban development characteristics to health outcomes. Higher technology adoption is associated with improved health information systems and telemedicine access. Stronger governance correlates with better resource allocation and reduced corruption in health procurement. Human capital investment predicts health workforce availability. However, no study has systematically examined whether composite urban development profiles predict surgical system performance at the municipal level.</w:t>
      </w:r>
    </w:p>
    <w:p>
      <w:pPr>
        <w:pStyle w:val="Heading2"/>
        <w:spacing w:after="120" w:before="240" w:line="360"/>
        <w:jc w:val="left"/>
      </w:pPr>
      <w:r>
        <w:t xml:space="preserve">1.3 Knowledge Gap</w:t>
      </w:r>
    </w:p>
    <w:p>
      <w:pPr>
        <w:spacing w:after="120" w:before="0" w:line="360"/>
        <w:jc w:val="both"/>
      </w:pPr>
      <w:r>
        <w:rPr>
          <w:b/>
          <w:bCs/>
        </w:rPr>
        <w:t xml:space="preserve">The gap this study addresses is threefold:</w:t>
      </w:r>
    </w:p>
    <w:p>
      <w:pPr>
        <w:pStyle w:val="ListParagraph"/>
        <w:numPr>
          <w:ilvl w:val="0"/>
          <w:numId w:val="2"/>
        </w:numPr>
        <w:spacing w:after="60" w:line="360"/>
        <w:jc w:val="both"/>
      </w:pPr>
      <w:r>
        <w:rPr>
          <w:b/>
          <w:bCs/>
        </w:rPr>
        <w:t xml:space="preserve">Municipal-level LCoGS indicators have never been calculated for Brazil's 5,570 municipalities</w:t>
      </w:r>
      <w:r>
        <w:t xml:space="preserve">, despite the availability of granular administrative data from DATASUS and IBGE.</w:t>
      </w:r>
    </w:p>
    <w:p>
      <w:pPr>
        <w:pStyle w:val="ListParagraph"/>
        <w:numPr>
          <w:ilvl w:val="0"/>
          <w:numId w:val="2"/>
        </w:numPr>
        <w:spacing w:after="60" w:line="360"/>
        <w:jc w:val="both"/>
      </w:pPr>
      <w:r>
        <w:rPr>
          <w:b/>
          <w:bCs/>
        </w:rPr>
        <w:t xml:space="preserve">No study in any country has cross-referenced urban development composite indices with LCoGS surgical indicators</w:t>
      </w:r>
      <w:r>
        <w:t xml:space="preserve"> at subnational level.</w:t>
      </w:r>
    </w:p>
    <w:p>
      <w:pPr>
        <w:pStyle w:val="ListParagraph"/>
        <w:numPr>
          <w:ilvl w:val="0"/>
          <w:numId w:val="2"/>
        </w:numPr>
        <w:spacing w:after="60" w:line="360"/>
        <w:jc w:val="both"/>
      </w:pPr>
      <w:r>
        <w:rPr>
          <w:b/>
          <w:bCs/>
        </w:rPr>
        <w:t xml:space="preserve">The dose-response relationship between municipal development and surgical access</w:t>
      </w:r>
      <w:r>
        <w:t xml:space="preserve"> remains entirely uncharacterized, leaving policymakers without evidence on which dimensions of urban investment most efficiently improve surgical outcomes.</w:t>
      </w:r>
    </w:p>
    <w:p>
      <w:pPr>
        <w:pStyle w:val="Heading2"/>
        <w:spacing w:after="120" w:before="240" w:line="360"/>
        <w:jc w:val="left"/>
      </w:pPr>
      <w:r>
        <w:t xml:space="preserve">1.4 Research Questions</w:t>
      </w:r>
    </w:p>
    <w:p>
      <w:pPr>
        <w:spacing w:after="120" w:before="0" w:line="360"/>
        <w:jc w:val="both"/>
      </w:pPr>
      <w:r>
        <w:t xml:space="preserve">This study addresses the following research questions:</w:t>
      </w:r>
    </w:p>
    <w:p>
      <w:pPr>
        <w:pStyle w:val="ListParagraph"/>
        <w:numPr>
          <w:ilvl w:val="0"/>
          <w:numId w:val="3"/>
        </w:numPr>
        <w:spacing w:after="60" w:line="360"/>
        <w:jc w:val="both"/>
      </w:pPr>
      <w:r>
        <w:t xml:space="preserve">What is the variation in LCoGS surgical indicators across Brazilian municipalities from 2015 to 2023?</w:t>
      </w:r>
    </w:p>
    <w:p>
      <w:pPr>
        <w:pStyle w:val="ListParagraph"/>
        <w:numPr>
          <w:ilvl w:val="0"/>
          <w:numId w:val="3"/>
        </w:numPr>
        <w:spacing w:after="60" w:line="360"/>
        <w:jc w:val="both"/>
      </w:pPr>
      <w:r>
        <w:t xml:space="preserve">Which dimensions of urban development (human capital, technology, governance, economy, environment, mobility, urban planning, social cohesion, international projection) are independently associated with surgical system performance?</w:t>
      </w:r>
    </w:p>
    <w:p>
      <w:pPr>
        <w:pStyle w:val="ListParagraph"/>
        <w:numPr>
          <w:ilvl w:val="0"/>
          <w:numId w:val="3"/>
        </w:numPr>
        <w:spacing w:after="60" w:line="360"/>
        <w:jc w:val="both"/>
      </w:pPr>
      <w:r>
        <w:t xml:space="preserve">Can municipal development profiles predict surgical access and outcomes after controlling for population size, geographic region, and temporal trends?</w:t>
      </w:r>
    </w:p>
    <w:p>
      <w:pPr>
        <w:pStyle w:val="ListParagraph"/>
        <w:numPr>
          <w:ilvl w:val="0"/>
          <w:numId w:val="3"/>
        </w:numPr>
        <w:spacing w:after="120" w:line="360"/>
        <w:jc w:val="both"/>
      </w:pPr>
      <w:r>
        <w:t xml:space="preserve">What is the dose-response relationship between composite urban development scores and each LCoGS surgical indicator?</w:t>
      </w:r>
    </w:p>
    <w:p>
      <w:r>
        <w:br w:type="page"/>
      </w:r>
    </w:p>
    <w:p>
      <w:pPr>
        <w:pStyle w:val="Heading1"/>
        <w:spacing w:after="120" w:before="360" w:line="360"/>
        <w:jc w:val="left"/>
      </w:pPr>
      <w:r>
        <w:t xml:space="preserve">2. Methods</w:t>
      </w:r>
    </w:p>
    <w:p>
      <w:pPr>
        <w:pStyle w:val="Heading2"/>
        <w:spacing w:after="120" w:before="240" w:line="360"/>
        <w:jc w:val="left"/>
      </w:pPr>
      <w:r>
        <w:t xml:space="preserve">2.1 Study Design</w:t>
      </w:r>
    </w:p>
    <w:p>
      <w:pPr>
        <w:spacing w:after="120" w:before="0" w:line="360"/>
        <w:jc w:val="both"/>
      </w:pPr>
      <w:r>
        <w:t xml:space="preserve">This is a repeated cross-sectional ecological panel study using routinely collected administrative data. The unit of analysis is the municipality, identified by its 7-digit IBGE code (cod_ibge). The study period spans nine years from 2015 to 2023, providing annual observations that cover both pre-COVID (2015–2019) and peri/post-COVID (2020–2023) periods. The study follows the Strengthening the Reporting of Observational Studies in Epidemiology (STROBE) Statement</w:t>
      </w:r>
      <w:r>
        <w:rPr>
          <w:rStyle w:val="FootnoteReference"/>
        </w:rPr>
        <w:footnoteReference w:id="7"/>
      </w:r>
      <w:r>
        <w:t xml:space="preserve"> and the REporting of studies Conducted using Observational Routinely-collected health Data (RECORD) guidelines</w:t>
      </w:r>
      <w:r>
        <w:rPr>
          <w:rStyle w:val="FootnoteReference"/>
        </w:rPr>
        <w:footnoteReference w:id="8"/>
      </w:r>
      <w:r>
        <w:t xml:space="preserve">.</w:t>
      </w:r>
    </w:p>
    <w:p>
      <w:pPr>
        <w:pStyle w:val="Heading2"/>
        <w:spacing w:after="120" w:before="240" w:line="360"/>
        <w:jc w:val="left"/>
      </w:pPr>
      <w:r>
        <w:t xml:space="preserve">2.2 Setting</w:t>
      </w:r>
    </w:p>
    <w:p>
      <w:pPr>
        <w:spacing w:after="120" w:before="0" w:line="360"/>
        <w:jc w:val="both"/>
      </w:pPr>
      <w:r>
        <w:t xml:space="preserve">The study encompasses all 5,570 municipalities in Brazil, distributed across 26 states and the Federal District. Brazil's municipalities range from São Paulo (population ~12.3 million) to Borá, SP (population ~840). The primary analysis focuses on an analytically tractable subset of approximately 100 municipalities: all municipalities with population ≥200,000 plus all 27 state capitals (including Brasília, Federal District), regardless of population size. This subset captures the majority of the surgical volume and health workforce while ensuring representation from all states. Sensitivity analyses extend to the full set of 5,570 municipalities.</w:t>
      </w:r>
    </w:p>
    <w:p>
      <w:pPr>
        <w:pStyle w:val="Heading2"/>
        <w:spacing w:after="120" w:before="240" w:line="360"/>
        <w:jc w:val="left"/>
      </w:pPr>
      <w:r>
        <w:t xml:space="preserve">2.3 Data Sources</w:t>
      </w:r>
    </w:p>
    <w:p>
      <w:pPr>
        <w:spacing w:after="120" w:before="0" w:line="360"/>
        <w:jc w:val="both"/>
      </w:pPr>
      <w:r>
        <w:t xml:space="preserve">All data sources are publicly available Brazilian administrative databases. The study uses no individual-level or identifiable data.</w:t>
      </w:r>
    </w:p>
    <w:p>
      <w:pPr>
        <w:pStyle w:val="Heading3"/>
        <w:spacing w:after="120" w:before="240" w:line="360"/>
        <w:jc w:val="left"/>
      </w:pPr>
      <w:r>
        <w:t xml:space="preserve">2.3.1 Surgical Outcomes (LCoGS Indicators)</w:t>
      </w:r>
    </w:p>
    <w:p>
      <w:pPr>
        <w:pStyle w:val="ListParagraph"/>
        <w:numPr>
          <w:ilvl w:val="0"/>
          <w:numId w:val="2"/>
        </w:numPr>
        <w:spacing w:after="60" w:line="360"/>
        <w:jc w:val="both"/>
      </w:pPr>
      <w:r>
        <w:rPr>
          <w:b/>
          <w:bCs/>
        </w:rPr>
        <w:t xml:space="preserve">DATASUS SIH/SUS (Sistema de Informações Hospitalares):</w:t>
      </w:r>
      <w:r>
        <w:t xml:space="preserve"> Hospitalization records from the Autorização de Internação Hospitalar (AIH) system.</w:t>
      </w:r>
      <w:r>
        <w:rPr>
          <w:rStyle w:val="FootnoteReference"/>
        </w:rPr>
        <w:footnoteReference w:id="10"/>
      </w:r>
      <w:r>
        <w:t xml:space="preserve"> Key variables include MORTE (in-hospital death), PROC_REA (procedure code performed), MUNIC_RES (municipality of residence, IBGE 6-digit code), DIAS_PERM (length of stay), DIAG_PRINC (primary diagnosis, ICD-10), and CID_MORTE (cause of death ICD-10 code). Coverage: all SUS-funded hospitalizations nationally, representing approximately 70–75% of all hospitalizations in Brazil.</w:t>
      </w:r>
    </w:p>
    <w:p>
      <w:pPr>
        <w:pStyle w:val="ListParagraph"/>
        <w:numPr>
          <w:ilvl w:val="0"/>
          <w:numId w:val="2"/>
        </w:numPr>
        <w:spacing w:after="60" w:line="360"/>
        <w:jc w:val="both"/>
      </w:pPr>
      <w:r>
        <w:rPr>
          <w:b/>
          <w:bCs/>
        </w:rPr>
        <w:t xml:space="preserve">DATASUS CNES (Cadastro Nacional de Estabelecimentos de Saúde):</w:t>
      </w:r>
      <w:r>
        <w:t xml:space="preserve"> National registry of health establishments and professionals.</w:t>
      </w:r>
      <w:r>
        <w:rPr>
          <w:rStyle w:val="FootnoteReference"/>
        </w:rPr>
        <w:footnoteReference w:id="11"/>
      </w:r>
      <w:r>
        <w:t xml:space="preserve"> Used for SAO (surgeon, anesthesiologist, obstetrician) workforce density calculation. Relevant CBO (Brazilian Classification of Occupations) codes: 225120–225275 (surgeons by specialty), 225142 (anesthesiologists), 225235 (obstetricians). Coverage: all registered health professionals in public and private establishments.</w:t>
      </w:r>
    </w:p>
    <w:p>
      <w:pPr>
        <w:pStyle w:val="ListParagraph"/>
        <w:numPr>
          <w:ilvl w:val="0"/>
          <w:numId w:val="2"/>
        </w:numPr>
        <w:spacing w:after="60" w:line="360"/>
        <w:jc w:val="both"/>
      </w:pPr>
      <w:r>
        <w:rPr>
          <w:b/>
          <w:bCs/>
        </w:rPr>
        <w:t xml:space="preserve">DATASUS SIM (Sistema de Informação sobre Mortalidade):</w:t>
      </w:r>
      <w:r>
        <w:t xml:space="preserve"> National mortality registry for POMR validation and cross-referencing with SIH in-hospital death data.</w:t>
      </w:r>
      <w:r>
        <w:rPr>
          <w:rStyle w:val="FootnoteReference"/>
        </w:rPr>
        <w:footnoteReference w:id="15"/>
      </w:r>
    </w:p>
    <w:p>
      <w:pPr>
        <w:pStyle w:val="Heading3"/>
        <w:spacing w:after="120" w:before="240" w:line="360"/>
        <w:jc w:val="left"/>
      </w:pPr>
      <w:r>
        <w:t xml:space="preserve">2.3.2 Municipal Demographics</w:t>
      </w:r>
    </w:p>
    <w:p>
      <w:pPr>
        <w:pStyle w:val="ListParagraph"/>
        <w:numPr>
          <w:ilvl w:val="0"/>
          <w:numId w:val="2"/>
        </w:numPr>
        <w:spacing w:after="60" w:line="360"/>
        <w:jc w:val="both"/>
      </w:pPr>
      <w:r>
        <w:rPr>
          <w:b/>
          <w:bCs/>
        </w:rPr>
        <w:t xml:space="preserve">IBGE SIDRA API:</w:t>
      </w:r>
      <w:r>
        <w:t xml:space="preserve"> Population estimates (Table 6579), GDP per capita (Table 5938), literacy rates (Table 4714), urbanization rates (Table 4709).</w:t>
      </w:r>
      <w:r>
        <w:rPr>
          <w:rStyle w:val="FootnoteReference"/>
        </w:rPr>
        <w:footnoteReference w:id="12"/>
      </w:r>
    </w:p>
    <w:p>
      <w:pPr>
        <w:pStyle w:val="ListParagraph"/>
        <w:numPr>
          <w:ilvl w:val="0"/>
          <w:numId w:val="2"/>
        </w:numPr>
        <w:spacing w:after="60" w:line="360"/>
        <w:jc w:val="both"/>
      </w:pPr>
      <w:r>
        <w:rPr>
          <w:b/>
          <w:bCs/>
        </w:rPr>
        <w:t xml:space="preserve">IBGE Census 2022:</w:t>
      </w:r>
      <w:r>
        <w:t xml:space="preserve"> Detailed data on sanitation coverage, housing conditions, educational attainment, and demographic structure at the municipal level.</w:t>
      </w:r>
    </w:p>
    <w:p>
      <w:pPr>
        <w:pStyle w:val="Heading3"/>
        <w:spacing w:after="120" w:before="240" w:line="360"/>
        <w:jc w:val="left"/>
      </w:pPr>
      <w:r>
        <w:t xml:space="preserve">2.3.3 Urban Development Indicators (Mapped to IESE CIMI Dimensions)</w:t>
      </w:r>
    </w:p>
    <w:p>
      <w:pPr>
        <w:spacing w:after="120" w:before="0" w:line="360"/>
        <w:jc w:val="both"/>
      </w:pPr>
      <w:r>
        <w:t xml:space="preserve">The following data sources are mapped to the nine CIMI dimensions to construct a Brazilian municipal-level analogue of the Cities in Motion Index:</w:t>
      </w:r>
    </w:p>
    <w:p>
      <w:pPr>
        <w:pStyle w:val="ListParagraph"/>
        <w:numPr>
          <w:ilvl w:val="0"/>
          <w:numId w:val="2"/>
        </w:numPr>
        <w:spacing w:after="60" w:line="360"/>
        <w:jc w:val="both"/>
      </w:pPr>
      <w:r>
        <w:rPr>
          <w:b/>
          <w:bCs/>
        </w:rPr>
        <w:t xml:space="preserve">Human Capital: </w:t>
      </w:r>
      <w:r>
        <w:t xml:space="preserve">IBGE SIDRA (educational attainment), Atlas Brasil IDHM-Education component, INEP/MEC (schools per capita, enrollment rates, IDEB scores).</w:t>
      </w:r>
    </w:p>
    <w:p>
      <w:pPr>
        <w:pStyle w:val="ListParagraph"/>
        <w:numPr>
          <w:ilvl w:val="0"/>
          <w:numId w:val="2"/>
        </w:numPr>
        <w:spacing w:after="60" w:line="360"/>
        <w:jc w:val="both"/>
      </w:pPr>
      <w:r>
        <w:rPr>
          <w:b/>
          <w:bCs/>
        </w:rPr>
        <w:t xml:space="preserve">Social Cohesion: </w:t>
      </w:r>
      <w:r>
        <w:t xml:space="preserve">Atlas Brasil IDHM composite, IPEA (municipal Gini coefficient), SIM/DATASUS (homicide rate, avoidable mortality), IBGE/PNAD Contínua (unemployment rate).</w:t>
      </w:r>
    </w:p>
    <w:p>
      <w:pPr>
        <w:pStyle w:val="ListParagraph"/>
        <w:numPr>
          <w:ilvl w:val="0"/>
          <w:numId w:val="2"/>
        </w:numPr>
        <w:spacing w:after="60" w:line="360"/>
        <w:jc w:val="both"/>
      </w:pPr>
      <w:r>
        <w:rPr>
          <w:b/>
          <w:bCs/>
        </w:rPr>
        <w:t xml:space="preserve">Economy: </w:t>
      </w:r>
      <w:r>
        <w:t xml:space="preserve">IBGE SIDRA (GDP, GDP per capita, sectoral composition), RAIS/CAGED (formal employment), Receita Federal (business registry density).</w:t>
      </w:r>
    </w:p>
    <w:p>
      <w:pPr>
        <w:pStyle w:val="ListParagraph"/>
        <w:numPr>
          <w:ilvl w:val="0"/>
          <w:numId w:val="2"/>
        </w:numPr>
        <w:spacing w:after="60" w:line="360"/>
        <w:jc w:val="both"/>
      </w:pPr>
      <w:r>
        <w:rPr>
          <w:b/>
          <w:bCs/>
        </w:rPr>
        <w:t xml:space="preserve">Governance: </w:t>
      </w:r>
      <w:r>
        <w:t xml:space="preserve">FIRJAN IFGF (Índice FIRJAN de Gestão Fiscal — fiscal governance index), CGU (Controladoria-Geral da União — transparency portal), TSE (Tribunal Superior Eleitoral — e-government and participation indicators).</w:t>
      </w:r>
    </w:p>
    <w:p>
      <w:pPr>
        <w:pStyle w:val="ListParagraph"/>
        <w:numPr>
          <w:ilvl w:val="0"/>
          <w:numId w:val="2"/>
        </w:numPr>
        <w:spacing w:after="60" w:line="360"/>
        <w:jc w:val="both"/>
      </w:pPr>
      <w:r>
        <w:rPr>
          <w:b/>
          <w:bCs/>
        </w:rPr>
        <w:t xml:space="preserve">Environment: </w:t>
      </w:r>
      <w:r>
        <w:t xml:space="preserve">IBGE (sanitation coverage, piped water access), INPE (deforestation rates), ANA/Agência Nacional de Águas (water resource management indicators).</w:t>
      </w:r>
    </w:p>
    <w:p>
      <w:pPr>
        <w:pStyle w:val="ListParagraph"/>
        <w:numPr>
          <w:ilvl w:val="0"/>
          <w:numId w:val="2"/>
        </w:numPr>
        <w:spacing w:after="60" w:line="360"/>
        <w:jc w:val="both"/>
      </w:pPr>
      <w:r>
        <w:rPr>
          <w:b/>
          <w:bCs/>
        </w:rPr>
        <w:t xml:space="preserve">Mobility and Transportation: </w:t>
      </w:r>
      <w:r>
        <w:t xml:space="preserve">IBGE (vehicle fleet per capita), ANAC (domestic flight connections), DENATRAN (traffic and road infrastructure data).</w:t>
      </w:r>
    </w:p>
    <w:p>
      <w:pPr>
        <w:pStyle w:val="ListParagraph"/>
        <w:numPr>
          <w:ilvl w:val="0"/>
          <w:numId w:val="2"/>
        </w:numPr>
        <w:spacing w:after="60" w:line="360"/>
        <w:jc w:val="both"/>
      </w:pPr>
      <w:r>
        <w:rPr>
          <w:b/>
          <w:bCs/>
        </w:rPr>
        <w:t xml:space="preserve">Urban Planning: </w:t>
      </w:r>
      <w:r>
        <w:t xml:space="preserve">IBGE Census (urbanization rate, household density, sanitation infrastructure coverage, housing adequacy).</w:t>
      </w:r>
    </w:p>
    <w:p>
      <w:pPr>
        <w:pStyle w:val="ListParagraph"/>
        <w:numPr>
          <w:ilvl w:val="0"/>
          <w:numId w:val="2"/>
        </w:numPr>
        <w:spacing w:after="60" w:line="360"/>
        <w:jc w:val="both"/>
      </w:pPr>
      <w:r>
        <w:rPr>
          <w:b/>
          <w:bCs/>
        </w:rPr>
        <w:t xml:space="preserve">International Projection: </w:t>
      </w:r>
      <w:r>
        <w:t xml:space="preserve">EMBRATUR (international tourism arrivals), IBGE (hotel and restaurant establishments per capita, foreign trade data).</w:t>
      </w:r>
    </w:p>
    <w:p>
      <w:pPr>
        <w:pStyle w:val="ListParagraph"/>
        <w:numPr>
          <w:ilvl w:val="0"/>
          <w:numId w:val="2"/>
        </w:numPr>
        <w:spacing w:after="60" w:line="360"/>
        <w:jc w:val="both"/>
      </w:pPr>
      <w:r>
        <w:rPr>
          <w:b/>
          <w:bCs/>
        </w:rPr>
        <w:t xml:space="preserve">Technology: </w:t>
      </w:r>
      <w:r>
        <w:t xml:space="preserve">ANATEL (broadband subscriptions, mobile network coverage), IBGE/PNAD Contínua (household internet access), NIC.br/CGI.br (municipal connectivity indicators).</w:t>
      </w:r>
    </w:p>
    <w:p>
      <w:pPr>
        <w:pStyle w:val="Heading3"/>
        <w:spacing w:after="120" w:before="240" w:line="360"/>
        <w:jc w:val="left"/>
      </w:pPr>
      <w:r>
        <w:t xml:space="preserve">2.3.4 Municipal Health and Social Indicators</w:t>
      </w:r>
    </w:p>
    <w:p>
      <w:pPr>
        <w:pStyle w:val="ListParagraph"/>
        <w:numPr>
          <w:ilvl w:val="0"/>
          <w:numId w:val="2"/>
        </w:numPr>
        <w:spacing w:after="60" w:line="360"/>
        <w:jc w:val="both"/>
      </w:pPr>
      <w:r>
        <w:rPr>
          <w:b/>
          <w:bCs/>
        </w:rPr>
        <w:t xml:space="preserve">PCDaS/POLIS (Fiocruz ICICT):</w:t>
      </w:r>
      <w:r>
        <w:t xml:space="preserve"> Municipal health outcomes (infant mortality rate, maternal mortality rate, ICSAP hospitalization rate), social vulnerability (CadÚnico extreme poverty rate), and health governance indicators (Municipal Health Council existence and character, Municipal Health Plan existence, Municipal Health Fund existence). Coverage: all 5,570 municipalities, years 2018–2019–2021. Available from: https://pcdas.icict.fiocruz.br/conjunto-de-dados/polis-pcdas/. License: Creative Commons.</w:t>
      </w:r>
    </w:p>
    <w:p>
      <w:pPr>
        <w:pStyle w:val="Heading3"/>
        <w:spacing w:after="120" w:before="240" w:line="360"/>
        <w:jc w:val="left"/>
      </w:pPr>
      <w:r>
        <w:t xml:space="preserve">2.3.5 External Validation Benchmarks</w:t>
      </w:r>
    </w:p>
    <w:p>
      <w:pPr>
        <w:spacing w:after="120" w:before="0" w:line="360"/>
        <w:jc w:val="both"/>
      </w:pPr>
      <w:r>
        <w:t xml:space="preserve">The following external datasets are used for validation and sensitivity analysis of the Composite Urban Development Score (CUDS):</w:t>
      </w:r>
    </w:p>
    <w:p>
      <w:pPr>
        <w:pStyle w:val="ListParagraph"/>
        <w:numPr>
          <w:ilvl w:val="0"/>
          <w:numId w:val="2"/>
        </w:numPr>
        <w:spacing w:after="60" w:line="360"/>
        <w:jc w:val="both"/>
      </w:pPr>
      <w:r>
        <w:rPr>
          <w:b/>
          <w:bCs/>
        </w:rPr>
        <w:t xml:space="preserve">Connected Smart Cities Ranking (Urban Systems):</w:t>
      </w:r>
      <w:r>
        <w:t xml:space="preserve"> 74 indicators across 11 axes aligned with ISO 37122. Coverage: 656 Brazilian cities with population &gt;50,000. Published annually since 2015. Available from: https://ranking.connectedsmartcities.com.br/. Used for external validation of CUDS (Spearman rank correlation between CUDS and RCSC scores for the 656-city overlap).</w:t>
      </w:r>
    </w:p>
    <w:p>
      <w:pPr>
        <w:pStyle w:val="ListParagraph"/>
        <w:numPr>
          <w:ilvl w:val="0"/>
          <w:numId w:val="2"/>
        </w:numPr>
        <w:spacing w:after="60" w:line="360"/>
        <w:jc w:val="both"/>
      </w:pPr>
      <w:r>
        <w:rPr>
          <w:b/>
          <w:bCs/>
        </w:rPr>
        <w:t xml:space="preserve">IDSC-BR (Instituto Cidades Sustentáveis / UN SDSN):</w:t>
      </w:r>
      <w:r>
        <w:t xml:space="preserve"> 100 SDG-aligned indicators for all 5,570 Brazilian municipalities. Available from: https://idsc.cidadessustentaveis.org.br/. Used for sensitivity analysis (Spearman rank correlation between CUDS and IDSC-BR scores across all municipalities).</w:t>
      </w:r>
    </w:p>
    <w:p>
      <w:pPr>
        <w:pStyle w:val="Heading3"/>
        <w:spacing w:after="120" w:before="240" w:line="360"/>
        <w:jc w:val="left"/>
      </w:pPr>
      <w:r>
        <w:t xml:space="preserve">2.3.6 National Benchmarks</w:t>
      </w:r>
    </w:p>
    <w:p>
      <w:pPr>
        <w:spacing w:after="120" w:before="0" w:line="360"/>
        <w:jc w:val="both"/>
      </w:pPr>
      <w:r>
        <w:t xml:space="preserve">Country-level indicators provide context for interpreting municipal-level findings:</w:t>
      </w:r>
    </w:p>
    <w:p>
      <w:pPr>
        <w:pStyle w:val="ListParagraph"/>
        <w:numPr>
          <w:ilvl w:val="0"/>
          <w:numId w:val="2"/>
        </w:numPr>
        <w:spacing w:after="60" w:line="360"/>
        <w:jc w:val="both"/>
      </w:pPr>
      <w:r>
        <w:rPr>
          <w:b/>
          <w:bCs/>
        </w:rPr>
        <w:t xml:space="preserve">WHO Global Health Observatory (GHO): </w:t>
      </w:r>
      <w:r>
        <w:t xml:space="preserve">Health expenditure per capita, universal health coverage (UHC) service coverage index, life expectancy at birth, maternal mortality ratio.</w:t>
      </w:r>
    </w:p>
    <w:p>
      <w:pPr>
        <w:pStyle w:val="ListParagraph"/>
        <w:numPr>
          <w:ilvl w:val="0"/>
          <w:numId w:val="2"/>
        </w:numPr>
        <w:spacing w:after="60" w:line="360"/>
        <w:jc w:val="both"/>
      </w:pPr>
      <w:r>
        <w:rPr>
          <w:b/>
          <w:bCs/>
        </w:rPr>
        <w:t xml:space="preserve">World Bank World Development Indicators (WDI): </w:t>
      </w:r>
      <w:r>
        <w:t xml:space="preserve">24 governance, ICT, economic, and health indicators for Brazil.</w:t>
      </w:r>
      <w:r>
        <w:rPr>
          <w:rStyle w:val="FootnoteReference"/>
        </w:rPr>
        <w:footnoteReference w:id="14"/>
      </w:r>
    </w:p>
    <w:p>
      <w:pPr>
        <w:pStyle w:val="ListParagraph"/>
        <w:numPr>
          <w:ilvl w:val="0"/>
          <w:numId w:val="2"/>
        </w:numPr>
        <w:spacing w:after="60" w:line="360"/>
        <w:jc w:val="both"/>
      </w:pPr>
      <w:r>
        <w:rPr>
          <w:b/>
          <w:bCs/>
        </w:rPr>
        <w:t xml:space="preserve">UNDP Human Development Report: </w:t>
      </w:r>
      <w:r>
        <w:t xml:space="preserve">HDI = 0.786, Inequality-adjusted HDI (IHDI) = 0.594, Gender Inequality Index (GII) = 0.390 (2023 values).</w:t>
      </w:r>
      <w:r>
        <w:rPr>
          <w:rStyle w:val="FootnoteReference"/>
        </w:rPr>
        <w:footnoteReference w:id="13"/>
      </w:r>
    </w:p>
    <w:p>
      <w:pPr>
        <w:pStyle w:val="ListParagraph"/>
        <w:numPr>
          <w:ilvl w:val="0"/>
          <w:numId w:val="2"/>
        </w:numPr>
        <w:spacing w:after="60" w:line="360"/>
        <w:jc w:val="both"/>
      </w:pPr>
      <w:r>
        <w:rPr>
          <w:b/>
          <w:bCs/>
        </w:rPr>
        <w:t xml:space="preserve">Transparency International: </w:t>
      </w:r>
      <w:r>
        <w:t xml:space="preserve">Corruption Perceptions Index = 35/100 (2025).</w:t>
      </w:r>
    </w:p>
    <w:p>
      <w:pPr>
        <w:pStyle w:val="ListParagraph"/>
        <w:numPr>
          <w:ilvl w:val="0"/>
          <w:numId w:val="2"/>
        </w:numPr>
        <w:spacing w:after="60" w:line="360"/>
        <w:jc w:val="both"/>
      </w:pPr>
      <w:r>
        <w:rPr>
          <w:b/>
          <w:bCs/>
        </w:rPr>
        <w:t xml:space="preserve">WIPO Global Innovation Index: </w:t>
      </w:r>
      <w:r>
        <w:t xml:space="preserve">Rank 52/139 (2025).</w:t>
      </w:r>
    </w:p>
    <w:p>
      <w:r>
        <w:br w:type="page"/>
      </w:r>
    </w:p>
    <w:p>
      <w:pPr>
        <w:pStyle w:val="Heading2"/>
        <w:spacing w:after="120" w:before="240" w:line="360"/>
        <w:jc w:val="left"/>
      </w:pPr>
      <w:r>
        <w:t xml:space="preserve">2.4 Variables</w:t>
      </w:r>
    </w:p>
    <w:p>
      <w:pPr>
        <w:pStyle w:val="Heading3"/>
        <w:spacing w:after="120" w:before="240" w:line="360"/>
        <w:jc w:val="left"/>
      </w:pPr>
      <w:r>
        <w:t xml:space="preserve">2.4.1 Dependent Variables (Outcomes)</w:t>
      </w:r>
    </w:p>
    <w:p>
      <w:pPr>
        <w:spacing w:after="120" w:before="0" w:line="360"/>
        <w:jc w:val="both"/>
      </w:pPr>
      <w:r>
        <w:t xml:space="preserve">Seven outcome variables are constructed following the LCoGS framework, operationalized for municipal-level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660"/>
        <w:gridCol w:w="2500"/>
      </w:tblGrid>
      <w:tr>
        <w:trPr>
          <w:tblHeader/>
        </w:trP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Indicator</w:t>
            </w:r>
          </w:p>
        </w:tc>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Name</w:t>
            </w:r>
          </w:p>
        </w:tc>
        <w:tc>
          <w:tcPr>
            <w:tcW w:type="dxa" w:w="36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Definition</w:t>
            </w:r>
          </w:p>
        </w:tc>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Data Source</w:t>
            </w:r>
          </w:p>
        </w:tc>
      </w:tr>
      <w:tr>
        <w:trPr>
          <w:tblHeader w:val="false"/>
        </w:trP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LCoGS-1</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Bellwether Access</w:t>
            </w:r>
          </w:p>
        </w:tc>
        <w:tc>
          <w:tcPr>
            <w:tcW w:type="dxa" w:w="3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Proportion of population within a municipality that has at least one hospital performing laparotomy, caesarean section, and open fracture treatment (proxy from CNES procedure capacity)</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CNES</w:t>
            </w:r>
          </w:p>
        </w:tc>
      </w:tr>
      <w:tr>
        <w:trPr>
          <w:tblHeader w:val="false"/>
        </w:trPr>
        <w:tc>
          <w:tcPr>
            <w:tcW w:type="dxa" w:w="12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LCoGS-2</w:t>
            </w:r>
          </w:p>
        </w:tc>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SAO Density</w:t>
            </w:r>
          </w:p>
        </w:tc>
        <w:tc>
          <w:tcPr>
            <w:tcW w:type="dxa" w:w="3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Number of surgeons + anesthesiologists + obstetricians per 100,000 population (CBO codes 225120–225275, 225142, 225235)</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CNES / IBGE</w:t>
            </w:r>
          </w:p>
        </w:tc>
      </w:tr>
      <w:tr>
        <w:trPr>
          <w:tblHeader w:val="false"/>
        </w:trP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LCoGS-3</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Surgical Volume</w:t>
            </w:r>
          </w:p>
        </w:tc>
        <w:tc>
          <w:tcPr>
            <w:tcW w:type="dxa" w:w="3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Surgical procedures per 100,000 population per year, based on AIH records and surgical procedure codes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SIH/SUS</w:t>
            </w:r>
          </w:p>
        </w:tc>
      </w:tr>
      <w:tr>
        <w:trPr>
          <w:tblHeader w:val="false"/>
        </w:trPr>
        <w:tc>
          <w:tcPr>
            <w:tcW w:type="dxa" w:w="12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LCoGS-4</w:t>
            </w:r>
          </w:p>
        </w:tc>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POMR</w:t>
            </w:r>
          </w:p>
        </w:tc>
        <w:tc>
          <w:tcPr>
            <w:tcW w:type="dxa" w:w="3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Perioperative mortality rate: in-hospital deaths / total surgical procedures × 100 (from SIH MORTE variable)</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SIH/SUS</w:t>
            </w:r>
          </w:p>
        </w:tc>
      </w:tr>
      <w:tr>
        <w:trPr>
          <w:tblHeader w:val="false"/>
        </w:trP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LCoGS-5</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Impoverishing Expenditure</w:t>
            </w:r>
          </w:p>
        </w:tc>
        <w:tc>
          <w:tcPr>
            <w:tcW w:type="dxa" w:w="3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Protection against impoverishing expenditure: modeled from out-of-pocket costs, GDP per capita, Gini coefficient, following Massenburg et al. 2017 methodology</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 IPEA / ANS</w:t>
            </w:r>
          </w:p>
        </w:tc>
      </w:tr>
      <w:tr>
        <w:trPr>
          <w:tblHeader w:val="false"/>
        </w:trPr>
        <w:tc>
          <w:tcPr>
            <w:tcW w:type="dxa" w:w="12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LCoGS-6</w:t>
            </w:r>
          </w:p>
        </w:tc>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Catastrophic Expenditure</w:t>
            </w:r>
          </w:p>
        </w:tc>
        <w:tc>
          <w:tcPr>
            <w:tcW w:type="dxa" w:w="3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Protection against catastrophic expenditure: modeled using same methodology as LCoGS-5</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 IPEA / ANS</w:t>
            </w:r>
          </w:p>
        </w:tc>
      </w:tr>
      <w:tr>
        <w:trPr>
          <w:tblHeader w:val="false"/>
        </w:trP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Composite</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bCs/>
                <w:color w:val="28251D"/>
                <w:sz w:val="20"/>
                <w:szCs w:val="20"/>
              </w:rPr>
              <w:t xml:space="preserve">LCoGS Score</w:t>
            </w:r>
          </w:p>
        </w:tc>
        <w:tc>
          <w:tcPr>
            <w:tcW w:type="dxa" w:w="3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Geometric mean of normalized indicators 1–6, following HDI aggregation methodology</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Derived</w:t>
            </w:r>
          </w:p>
        </w:tc>
      </w:tr>
    </w:tbl>
    <w:p>
      <w:pPr>
        <w:spacing w:after="120" w:before="0" w:line="360"/>
        <w:jc w:val="both"/>
      </w:pPr>
      <w:r>
        <w:t xml:space="preserve"/>
      </w:r>
    </w:p>
    <w:p>
      <w:pPr>
        <w:pStyle w:val="Heading3"/>
        <w:spacing w:after="120" w:before="240" w:line="360"/>
        <w:jc w:val="left"/>
      </w:pPr>
      <w:r>
        <w:t xml:space="preserve">2.4.2 Independent Variables (Predictors)</w:t>
      </w:r>
    </w:p>
    <w:p>
      <w:pPr>
        <w:spacing w:after="120" w:before="0" w:line="360"/>
        <w:jc w:val="both"/>
      </w:pPr>
      <w:r>
        <w:t xml:space="preserve">Independent variables are organized by CIMI dimension. For each dimension, 8–10 key variables are selected based on data availability, theoretical relevance to surgical access, and prior literature. Variables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rPr>
          <w:tblHeader/>
        </w:trPr>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CIMI Dimension</w:t>
            </w:r>
          </w:p>
        </w:tc>
        <w:tc>
          <w:tcPr>
            <w:tcW w:type="dxa" w:w="43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Key Variables (Examples)</w:t>
            </w:r>
          </w:p>
        </w:tc>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Source</w:t>
            </w:r>
          </w:p>
        </w:tc>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Expected Direction</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Human Capital</w:t>
            </w:r>
          </w:p>
        </w:tc>
        <w:tc>
          <w:tcPr>
            <w:tcW w:type="dxa" w:w="4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 adults with higher education; IDEB school quality score; literacy rate; years of schooling; student-teacher ratio; enrollment rate; IDHM-Education</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INEP, Atlas Brasil</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Social Cohesion</w:t>
            </w:r>
          </w:p>
        </w:tc>
        <w:tc>
          <w:tcPr>
            <w:tcW w:type="dxa" w:w="43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Gini coefficient (inverse); homicide rate (inverse); unemployment rate (inverse); IDHM composite; Bolsa Família coverage; life expectancy</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IPEA, SIM, IBGE, Atlas Brasil</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Economy</w:t>
            </w:r>
          </w:p>
        </w:tc>
        <w:tc>
          <w:tcPr>
            <w:tcW w:type="dxa" w:w="4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GDP per capita; formal employment rate; business density; sectoral diversification index; municipal tax revenue per capita; credit access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SIDRA, RAIS, Receita Federal</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Governance</w:t>
            </w:r>
          </w:p>
        </w:tc>
        <w:tc>
          <w:tcPr>
            <w:tcW w:type="dxa" w:w="43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IFGF fiscal governance index; transparency score (CGU); e-government services availability; municipal council activity; audit compliance rate</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FIRJAN, CGU, TSE</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Environment</w:t>
            </w:r>
          </w:p>
        </w:tc>
        <w:tc>
          <w:tcPr>
            <w:tcW w:type="dxa" w:w="4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 households with piped water; % with sewage collection; deforestation rate (inverse); solid waste collection rate; air quality index</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INPE, ANA</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Mobility</w:t>
            </w:r>
          </w:p>
        </w:tc>
        <w:tc>
          <w:tcPr>
            <w:tcW w:type="dxa" w:w="43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Vehicles per capita; paved road density; domestic flight connections; public transit availability; commute time</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ANAC, DENATRAN</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Urban Planning</w:t>
            </w:r>
          </w:p>
        </w:tc>
        <w:tc>
          <w:tcPr>
            <w:tcW w:type="dxa" w:w="4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Urbanization rate; household density; % adequate housing; sanitation infrastructure coverage; green area per capita; master plan existence</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IBGE Census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International Projection</w:t>
            </w:r>
          </w:p>
        </w:tc>
        <w:tc>
          <w:tcPr>
            <w:tcW w:type="dxa" w:w="43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International tourism arrivals; hotel beds per capita; foreign trade volume; international events hosted; consulate presence</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EMBRATUR, IBGE</w:t>
            </w:r>
          </w:p>
        </w:tc>
        <w:tc>
          <w:tcPr>
            <w:tcW w:type="dxa" w:w="1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Technology</w:t>
            </w:r>
          </w:p>
        </w:tc>
        <w:tc>
          <w:tcPr>
            <w:tcW w:type="dxa" w:w="4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Broadband subscriptions per 100 pop; mobile coverage (%); household internet access (%); e-commerce activity; digital government services score</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ANATEL, IBGE/PNAD, NIC.br</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Positive (+)</w:t>
            </w:r>
          </w:p>
        </w:tc>
      </w:tr>
    </w:tbl>
    <w:p>
      <w:pPr>
        <w:spacing w:after="120" w:before="0" w:line="360"/>
        <w:jc w:val="both"/>
      </w:pPr>
      <w:r>
        <w:t xml:space="preserve"/>
      </w:r>
    </w:p>
    <w:p>
      <w:pPr>
        <w:pStyle w:val="Heading3"/>
        <w:spacing w:after="120" w:before="240" w:line="360"/>
        <w:jc w:val="left"/>
      </w:pPr>
      <w:r>
        <w:t xml:space="preserve">2.4.3 Covariates and Confounders</w:t>
      </w:r>
    </w:p>
    <w:p>
      <w:pPr>
        <w:spacing w:after="120" w:before="0" w:line="360"/>
        <w:jc w:val="both"/>
      </w:pPr>
      <w:r>
        <w:t xml:space="preserve">The following variables are included as covariates to control for confounding:</w:t>
      </w:r>
    </w:p>
    <w:p>
      <w:pPr>
        <w:pStyle w:val="ListParagraph"/>
        <w:numPr>
          <w:ilvl w:val="0"/>
          <w:numId w:val="2"/>
        </w:numPr>
        <w:spacing w:after="60" w:line="360"/>
        <w:jc w:val="both"/>
      </w:pPr>
      <w:r>
        <w:t xml:space="preserve">Population size (continuous, log-transformed)</w:t>
      </w:r>
    </w:p>
    <w:p>
      <w:pPr>
        <w:pStyle w:val="ListParagraph"/>
        <w:numPr>
          <w:ilvl w:val="0"/>
          <w:numId w:val="2"/>
        </w:numPr>
        <w:spacing w:after="60" w:line="360"/>
        <w:jc w:val="both"/>
      </w:pPr>
      <w:r>
        <w:t xml:space="preserve">Population density (inhabitants/km²)</w:t>
      </w:r>
    </w:p>
    <w:p>
      <w:pPr>
        <w:pStyle w:val="ListParagraph"/>
        <w:numPr>
          <w:ilvl w:val="0"/>
          <w:numId w:val="2"/>
        </w:numPr>
        <w:spacing w:after="60" w:line="360"/>
        <w:jc w:val="both"/>
      </w:pPr>
      <w:r>
        <w:t xml:space="preserve">Percentage urban population</w:t>
      </w:r>
    </w:p>
    <w:p>
      <w:pPr>
        <w:pStyle w:val="ListParagraph"/>
        <w:numPr>
          <w:ilvl w:val="0"/>
          <w:numId w:val="2"/>
        </w:numPr>
        <w:spacing w:after="60" w:line="360"/>
        <w:jc w:val="both"/>
      </w:pPr>
      <w:r>
        <w:t xml:space="preserve">Geographic macro-region (North, Northeast, Southeast, South, Center-West)</w:t>
      </w:r>
    </w:p>
    <w:p>
      <w:pPr>
        <w:pStyle w:val="ListParagraph"/>
        <w:numPr>
          <w:ilvl w:val="0"/>
          <w:numId w:val="2"/>
        </w:numPr>
        <w:spacing w:after="60" w:line="360"/>
        <w:jc w:val="both"/>
      </w:pPr>
      <w:r>
        <w:t xml:space="preserve">State fixed effects (27 states + Federal District)</w:t>
      </w:r>
    </w:p>
    <w:p>
      <w:pPr>
        <w:pStyle w:val="ListParagraph"/>
        <w:numPr>
          <w:ilvl w:val="0"/>
          <w:numId w:val="2"/>
        </w:numPr>
        <w:spacing w:after="60" w:line="360"/>
        <w:jc w:val="both"/>
      </w:pPr>
      <w:r>
        <w:t xml:space="preserve">Year fixed effects (2015–2023)</w:t>
      </w:r>
    </w:p>
    <w:p>
      <w:pPr>
        <w:pStyle w:val="ListParagraph"/>
        <w:numPr>
          <w:ilvl w:val="0"/>
          <w:numId w:val="2"/>
        </w:numPr>
        <w:spacing w:after="60" w:line="360"/>
        <w:jc w:val="both"/>
      </w:pPr>
      <w:r>
        <w:t xml:space="preserve">Percentage SUS-dependent population (inverse of private health insurance coverage from ANS)</w:t>
      </w:r>
    </w:p>
    <w:p>
      <w:pPr>
        <w:spacing w:after="120" w:before="120" w:line="360"/>
        <w:jc w:val="both"/>
      </w:pPr>
      <w:r>
        <w:t xml:space="preserve">Additionally, the following POLIS/PCDaS health governance and primary care variables are included as mediators or additional covariates to explore the pathway between urban development and surgical outcomes:</w:t>
      </w:r>
    </w:p>
    <w:p>
      <w:pPr>
        <w:pStyle w:val="ListParagraph"/>
        <w:numPr>
          <w:ilvl w:val="0"/>
          <w:numId w:val="2"/>
        </w:numPr>
        <w:spacing w:after="60" w:line="360"/>
        <w:jc w:val="both"/>
      </w:pPr>
      <w:r>
        <w:t xml:space="preserve">Municipal Health Council existence and character (deliberative, normative, fiscalizador)</w:t>
      </w:r>
    </w:p>
    <w:p>
      <w:pPr>
        <w:pStyle w:val="ListParagraph"/>
        <w:numPr>
          <w:ilvl w:val="0"/>
          <w:numId w:val="2"/>
        </w:numPr>
        <w:spacing w:after="60" w:line="360"/>
        <w:jc w:val="both"/>
      </w:pPr>
      <w:r>
        <w:t xml:space="preserve">Municipal Health Plan existence</w:t>
      </w:r>
    </w:p>
    <w:p>
      <w:pPr>
        <w:pStyle w:val="ListParagraph"/>
        <w:numPr>
          <w:ilvl w:val="0"/>
          <w:numId w:val="2"/>
        </w:numPr>
        <w:spacing w:after="60" w:line="360"/>
        <w:jc w:val="both"/>
      </w:pPr>
      <w:r>
        <w:t xml:space="preserve">Municipal Health Fund existence</w:t>
      </w:r>
    </w:p>
    <w:p>
      <w:pPr>
        <w:pStyle w:val="ListParagraph"/>
        <w:numPr>
          <w:ilvl w:val="0"/>
          <w:numId w:val="2"/>
        </w:numPr>
        <w:spacing w:after="60" w:line="360"/>
        <w:jc w:val="both"/>
      </w:pPr>
      <w:r>
        <w:t xml:space="preserve">ICSAP hospitalization rate (percentage of hospitalizations for primary-care-sensitive conditions — a key indicator of PHC system effectiveness that may mediate the CUDS→LCoGS relationship)</w:t>
      </w:r>
    </w:p>
    <w:p>
      <w:pPr>
        <w:pStyle w:val="ListParagraph"/>
        <w:numPr>
          <w:ilvl w:val="0"/>
          <w:numId w:val="2"/>
        </w:numPr>
        <w:spacing w:after="60" w:line="360"/>
        <w:jc w:val="both"/>
      </w:pPr>
      <w:r>
        <w:t xml:space="preserve">Extreme poverty rate (CadÚnico)</w:t>
      </w:r>
    </w:p>
    <w:p>
      <w:pPr>
        <w:pStyle w:val="ListParagraph"/>
        <w:numPr>
          <w:ilvl w:val="0"/>
          <w:numId w:val="2"/>
        </w:numPr>
        <w:spacing w:after="60" w:line="360"/>
        <w:jc w:val="both"/>
      </w:pPr>
      <w:r>
        <w:t xml:space="preserve">Infant mortality rate</w:t>
      </w:r>
    </w:p>
    <w:p>
      <w:pPr>
        <w:pStyle w:val="ListParagraph"/>
        <w:numPr>
          <w:ilvl w:val="0"/>
          <w:numId w:val="2"/>
        </w:numPr>
        <w:spacing w:after="60" w:line="360"/>
        <w:jc w:val="both"/>
      </w:pPr>
      <w:r>
        <w:t xml:space="preserve">Maternal mortality rate</w:t>
      </w:r>
    </w:p>
    <w:p>
      <w:r>
        <w:br w:type="page"/>
      </w:r>
    </w:p>
    <w:p>
      <w:pPr>
        <w:pStyle w:val="Heading2"/>
        <w:spacing w:after="120" w:before="240" w:line="360"/>
        <w:jc w:val="left"/>
      </w:pPr>
      <w:r>
        <w:t xml:space="preserve">2.5 Composite Urban Development Score (CUDS) Construction</w:t>
      </w:r>
    </w:p>
    <w:p>
      <w:pPr>
        <w:spacing w:after="120" w:before="0" w:line="360"/>
        <w:jc w:val="both"/>
      </w:pPr>
      <w:r>
        <w:t xml:space="preserve">The CUDS operationalizes the IESE Cities in Motion Index (CIMI) nine-dimension framework (Berrone &amp; Ricart, 2024) using Brazilian open administrative data. The nine dimensions are: Human Capital, Social Cohesion, Economy, Governance, Environment, Mobility, Urban Planning, International Projection, and Technology. For each dimension, 5–10 municipal-level indicators are drawn from Brazilian open data sources (IBGE, DATASUS, ANATEL, RAIS, INEP, SNIS, FIRJAN, among others), totaling approximately 80 indicators. The aggregation method follows UNDP HDI methodology (Klugman et al., 2011): min-max normalization of each indicator to the [0, 1] interval within each year, followed by geometric mean aggregation within dimensions and geometric mean aggregation across the nine dimensions. Three weighting approaches are compared: (a) equal weights, (b) PCA-derived weights, and (c) expert-elicited weights via Delphi survey. The CUDS is validated against two external benchmarks: (i) Connected Smart Cities Ranking scores (Spearman rank correlation across the 656-city overlap) and (ii) IDSC-BR scores (Spearman rank correlation across all 5,570 municipalities).</w:t>
      </w:r>
    </w:p>
    <w:p>
      <w:pPr>
        <w:spacing w:after="120" w:before="0" w:line="360"/>
        <w:jc w:val="both"/>
      </w:pPr>
      <w:r>
        <w:t xml:space="preserve">The CUDS is constructed following international best practices for composite indicators, drawing on the UNDP Human Development Index methodology</w:t>
      </w:r>
      <w:r>
        <w:rPr>
          <w:rStyle w:val="FootnoteReference"/>
        </w:rPr>
        <w:footnoteReference w:id="5"/>
      </w:r>
      <w:r>
        <w:t xml:space="preserve"> and the Joint Research Centre guidelines on composite indicator construction</w:t>
      </w:r>
      <w:r>
        <w:rPr>
          <w:rStyle w:val="FootnoteReference"/>
        </w:rPr>
        <w:footnoteReference w:id="6"/>
      </w:r>
      <w:r>
        <w:t xml:space="preserve">.</w:t>
      </w:r>
    </w:p>
    <w:p>
      <w:pPr>
        <w:spacing w:after="120" w:before="0" w:line="360"/>
        <w:jc w:val="both"/>
      </w:pPr>
      <w:r>
        <w:rPr>
          <w:b/>
          <w:bCs/>
        </w:rPr>
        <w:t xml:space="preserve">Step 1 — Variable Selection. </w:t>
      </w:r>
      <w:r>
        <w:t xml:space="preserve">Variables are selected from Brazilian public databases based on three criteria: (a) theoretical alignment with at least one of the nine CIMI dimensions; (b) demonstrated or hypothesized relevance to surgical system capacity; and (c) data availability at the municipal level for ≥7 of the 9 study years. Variables with &gt;50% missing values across municipality-years are excluded.</w:t>
      </w:r>
    </w:p>
    <w:p>
      <w:pPr>
        <w:spacing w:after="120" w:before="0" w:line="360"/>
        <w:jc w:val="both"/>
      </w:pPr>
      <w:r>
        <w:rPr>
          <w:b/>
          <w:bCs/>
        </w:rPr>
        <w:t xml:space="preserve">Step 2 — Normalization. </w:t>
      </w:r>
      <w:r>
        <w:t xml:space="preserve">All variables are normalized using min-max scaling to the [0, 1] interval within each year to ensure comparability across dimensions and over time. Variables where higher values indicate worse outcomes (e.g., homicide rate, Gini coefficient) are reversed (1 − normalized value) before aggregation.</w:t>
      </w:r>
    </w:p>
    <w:p>
      <w:pPr>
        <w:spacing w:after="120" w:before="0" w:line="360"/>
        <w:jc w:val="both"/>
      </w:pPr>
      <w:r>
        <w:rPr>
          <w:b/>
          <w:bCs/>
        </w:rPr>
        <w:t xml:space="preserve">Step 3 — Weighting. </w:t>
      </w:r>
      <w:r>
        <w:t xml:space="preserve">Three alternative weighting schemes are compared:</w:t>
      </w:r>
    </w:p>
    <w:p>
      <w:pPr>
        <w:pStyle w:val="ListParagraph"/>
        <w:numPr>
          <w:ilvl w:val="0"/>
          <w:numId w:val="2"/>
        </w:numPr>
        <w:spacing w:after="60" w:line="360"/>
        <w:jc w:val="both"/>
      </w:pPr>
      <w:r>
        <w:rPr>
          <w:b/>
          <w:bCs/>
        </w:rPr>
        <w:t xml:space="preserve">(a) Equal weights: </w:t>
      </w:r>
      <w:r>
        <w:t xml:space="preserve">Equal weights within each dimension and equal weight across all nine dimensions (1/9 each). This is the baseline approach.</w:t>
      </w:r>
    </w:p>
    <w:p>
      <w:pPr>
        <w:pStyle w:val="ListParagraph"/>
        <w:numPr>
          <w:ilvl w:val="0"/>
          <w:numId w:val="2"/>
        </w:numPr>
        <w:spacing w:after="60" w:line="360"/>
        <w:jc w:val="both"/>
      </w:pPr>
      <w:r>
        <w:rPr>
          <w:b/>
          <w:bCs/>
        </w:rPr>
        <w:t xml:space="preserve">(b) PCA-derived weights: </w:t>
      </w:r>
      <w:r>
        <w:t xml:space="preserve">Principal Component Analysis is applied within each dimension to derive data-driven weights proportional to the variance explained by each variable.</w:t>
      </w:r>
    </w:p>
    <w:p>
      <w:pPr>
        <w:pStyle w:val="ListParagraph"/>
        <w:numPr>
          <w:ilvl w:val="0"/>
          <w:numId w:val="2"/>
        </w:numPr>
        <w:spacing w:after="60" w:line="360"/>
        <w:jc w:val="both"/>
      </w:pPr>
      <w:r>
        <w:rPr>
          <w:b/>
          <w:bCs/>
        </w:rPr>
        <w:t xml:space="preserve">(c) Expert-elicited weights: </w:t>
      </w:r>
      <w:r>
        <w:t xml:space="preserve">A Delphi survey of global surgery and urban planning experts is conducted to elicit subjective weights for each dimension relative to surgical system performance.</w:t>
      </w:r>
    </w:p>
    <w:p>
      <w:pPr>
        <w:spacing w:after="120" w:before="0" w:line="360"/>
        <w:jc w:val="both"/>
      </w:pPr>
      <w:r>
        <w:rPr>
          <w:b/>
          <w:bCs/>
        </w:rPr>
        <w:t xml:space="preserve">Step 4 — Aggregation. </w:t>
      </w:r>
      <w:r>
        <w:t xml:space="preserve">The CUDS is computed as the geometric mean of the nine dimension sub-indices, following the UNDP HDI aggregation method. The geometric mean penalizes imbalance across dimensions, reflecting the premise that deficiency in any single dimension cannot be fully compensated by excellence in others.</w:t>
      </w:r>
    </w:p>
    <w:p>
      <w:pPr>
        <w:spacing w:after="120" w:before="0" w:line="360"/>
        <w:jc w:val="both"/>
      </w:pPr>
      <w:r>
        <w:rPr>
          <w:b/>
          <w:bCs/>
        </w:rPr>
        <w:t xml:space="preserve">Step 5 — Robustness. </w:t>
      </w:r>
      <w:r>
        <w:t xml:space="preserve">Index robustness is assessed following JRC composite indicator guidelines: (i) sensitivity to normalization method (min-max vs. z-score); (ii) sensitivity to weighting scheme (comparison of methods a–c); (iii) sensitivity to aggregation (geometric vs. arithmetic mean); and (iv) rank stability via bootstrap confidence intervals for municipal ranks.</w:t>
      </w:r>
    </w:p>
    <w:p>
      <w:r>
        <w:br w:type="page"/>
      </w:r>
    </w:p>
    <w:p>
      <w:pPr>
        <w:pStyle w:val="Heading2"/>
        <w:spacing w:after="120" w:before="240" w:line="360"/>
        <w:jc w:val="left"/>
      </w:pPr>
      <w:r>
        <w:t xml:space="preserve">2.6 LCoGS Indicator 1: Geospatial Access Module</w:t>
      </w:r>
    </w:p>
    <w:p>
      <w:pPr>
        <w:spacing w:after="120" w:before="0" w:line="360"/>
        <w:jc w:val="both"/>
      </w:pPr>
      <w:r>
        <w:t xml:space="preserve">LCoGS Indicator 1 (proportion of the population with access to a bellwether-capable facility within two hours) requires geospatial analysis. The following five-step methodology, adapted from the proxy definition of Massenburg et al. (2017) and the geospatial approach of Trindade et al. (2023), is applied at the national scale:</w:t>
      </w:r>
    </w:p>
    <w:p>
      <w:pPr>
        <w:spacing w:after="120" w:before="0" w:line="360"/>
        <w:jc w:val="both"/>
      </w:pPr>
      <w:r>
        <w:rPr>
          <w:b/>
          <w:bCs/>
        </w:rPr>
        <w:t xml:space="preserve">Step 1 — Identify bellwether-capable hospitals.</w:t>
      </w:r>
      <w:r>
        <w:t xml:space="preserve"> Hospitals are extracted from CNES using the following criteria: centro_cirurgico = 1 AND centro_obstetrico = 1 AND atend_hospitalar = 1, with valid geocoordinates. These criteria identify facilities capable of performing the three bellwether procedures (laparotomy, caesarean section, open fracture treatment).</w:t>
      </w:r>
    </w:p>
    <w:p>
      <w:pPr>
        <w:spacing w:after="120" w:before="0" w:line="360"/>
        <w:jc w:val="both"/>
      </w:pPr>
      <w:r>
        <w:rPr>
          <w:b/>
          <w:bCs/>
        </w:rPr>
        <w:t xml:space="preserve">Step 2 — Extract municipality centroids.</w:t>
      </w:r>
      <w:r>
        <w:t xml:space="preserve"> Geographic centroids for all 5,570 municipalities are obtained from IBGE municipal boundary shapefiles.</w:t>
      </w:r>
    </w:p>
    <w:p>
      <w:pPr>
        <w:spacing w:after="120" w:before="0" w:line="360"/>
        <w:jc w:val="both"/>
      </w:pPr>
      <w:r>
        <w:rPr>
          <w:b/>
          <w:bCs/>
        </w:rPr>
        <w:t xml:space="preserve">Step 3 — Calculate haversine distance.</w:t>
      </w:r>
      <w:r>
        <w:t xml:space="preserve"> The great-circle (haversine) distance from each municipality centroid to the nearest bellwether-capable hospital is computed.</w:t>
      </w:r>
    </w:p>
    <w:p>
      <w:pPr>
        <w:spacing w:after="120" w:before="0" w:line="360"/>
        <w:jc w:val="both"/>
      </w:pPr>
      <w:r>
        <w:rPr>
          <w:b/>
          <w:bCs/>
        </w:rPr>
        <w:t xml:space="preserve">Step 4 — Derive access metrics.</w:t>
      </w:r>
      <w:r>
        <w:t xml:space="preserve"> Four metrics are derived: (a) distance in kilometers (continuous); (b) two-hour access proxy (&lt;150 km ≈ 2 hours at 75 km/h average road speed); (c) bellwether hospital density within a 50 km radius; and (d) bellwether hospital density within a 100 km radius.</w:t>
      </w:r>
    </w:p>
    <w:p>
      <w:pPr>
        <w:spacing w:after="120" w:before="0" w:line="360"/>
        <w:jc w:val="both"/>
      </w:pPr>
      <w:r>
        <w:rPr>
          <w:b/>
          <w:bCs/>
        </w:rPr>
        <w:t xml:space="preserve">Step 5 (sensitivity) — Road-network travel time.</w:t>
      </w:r>
      <w:r>
        <w:t xml:space="preserve"> For the primary analysis municipalities (~100 cities), OpenStreetMap road-network travel time is computed using osmnx and networkx to validate the haversine-based proxy.</w:t>
      </w:r>
    </w:p>
    <w:p>
      <w:pPr>
        <w:spacing w:after="120" w:before="0" w:line="360"/>
        <w:jc w:val="both"/>
      </w:pPr>
      <w:r>
        <w:rPr>
          <w:i/>
          <w:iCs/>
        </w:rPr>
        <w:t xml:space="preserve">Preliminary result (from partial CNES scan, 114 bellwether-capable hospitals identified):</w:t>
      </w:r>
      <w:r>
        <w:t xml:space="preserve"> 81.8% of Brazilian municipalities meet the two-hour proxy access threshold. However, regional disparities are extreme: the Norte region achieves only 39.1% access, with Acre, Roraima, and Amapá at 0% access. These preliminary findings will be refined as the full CNES dataset is processed.</w:t>
      </w:r>
    </w:p>
    <w:p>
      <w:r>
        <w:br w:type="page"/>
      </w:r>
    </w:p>
    <w:p>
      <w:pPr>
        <w:pStyle w:val="Heading2"/>
        <w:spacing w:after="120" w:before="240" w:line="360"/>
        <w:jc w:val="left"/>
      </w:pPr>
      <w:r>
        <w:t xml:space="preserve">2.7 Statistical Analysis Plan</w:t>
      </w:r>
    </w:p>
    <w:p>
      <w:pPr>
        <w:pStyle w:val="Heading3"/>
        <w:spacing w:after="120" w:before="240" w:line="360"/>
        <w:jc w:val="left"/>
      </w:pPr>
      <w:r>
        <w:t xml:space="preserve">2.7.1 Descriptive Analysis</w:t>
      </w:r>
    </w:p>
    <w:p>
      <w:pPr>
        <w:spacing w:after="120" w:before="0" w:line="360"/>
        <w:jc w:val="both"/>
      </w:pPr>
      <w:r>
        <w:t xml:space="preserve">Choropleth maps are produced for each LCoGS indicator and the CUDS at the municipal level, for selected years (2015, 2019, 2023). Distributions of all indicators are characterized by mean, median, interquartile range, and coefficient of variation. Outlier municipalities are identified using the 1.5×IQR rule and investigated for data quality. Patterns of missingness are visualized by variable, year, and region.</w:t>
      </w:r>
    </w:p>
    <w:p>
      <w:pPr>
        <w:pStyle w:val="Heading3"/>
        <w:spacing w:after="120" w:before="240" w:line="360"/>
        <w:jc w:val="left"/>
      </w:pPr>
      <w:r>
        <w:t xml:space="preserve">2.7.2 Panel Regression Models</w:t>
      </w:r>
    </w:p>
    <w:p>
      <w:pPr>
        <w:spacing w:after="120" w:before="0" w:line="360"/>
        <w:jc w:val="both"/>
      </w:pPr>
      <w:r>
        <w:t xml:space="preserve">The primary analytical approach is two-way fixed effects panel regression with clustered standard errors at the state level:</w:t>
      </w:r>
    </w:p>
    <w:p>
      <w:pPr>
        <w:pStyle w:val="ListParagraph"/>
        <w:numPr>
          <w:ilvl w:val="0"/>
          <w:numId w:val="2"/>
        </w:numPr>
        <w:spacing w:after="60" w:line="360"/>
        <w:jc w:val="both"/>
      </w:pPr>
      <w:r>
        <w:rPr>
          <w:b/>
          <w:bCs/>
        </w:rPr>
        <w:t xml:space="preserve">Model 1 (Univariate): </w:t>
      </w:r>
      <w:r>
        <w:t xml:space="preserve">Each CIMI dimension sub-index is entered separately as the sole predictor of the composite LCoGS score, adjusting for population size, urbanization, and year fixed effects. This model tests the marginal association of each dimension.</w:t>
      </w:r>
    </w:p>
    <w:p>
      <w:pPr>
        <w:pStyle w:val="ListParagraph"/>
        <w:numPr>
          <w:ilvl w:val="0"/>
          <w:numId w:val="2"/>
        </w:numPr>
        <w:spacing w:after="60" w:line="360"/>
        <w:jc w:val="both"/>
      </w:pPr>
      <w:r>
        <w:rPr>
          <w:b/>
          <w:bCs/>
        </w:rPr>
        <w:t xml:space="preserve">Model 2 (Multivariate): </w:t>
      </w:r>
      <w:r>
        <w:t xml:space="preserve">All nine CIMI dimension sub-indices are entered jointly, with municipality fixed effects, year fixed effects, and the full covariate set. This model estimates the independent contribution of each dimension after mutual adjustment.</w:t>
      </w:r>
    </w:p>
    <w:p>
      <w:pPr>
        <w:pStyle w:val="ListParagraph"/>
        <w:numPr>
          <w:ilvl w:val="0"/>
          <w:numId w:val="2"/>
        </w:numPr>
        <w:spacing w:after="60" w:line="360"/>
        <w:jc w:val="both"/>
      </w:pPr>
      <w:r>
        <w:rPr>
          <w:b/>
          <w:bCs/>
        </w:rPr>
        <w:t xml:space="preserve">Model 3 (Dose-Response): </w:t>
      </w:r>
      <w:r>
        <w:t xml:space="preserve">The composite CUDS is modeled using restricted cubic splines (3–5 knots, placed at Harrell-recommended percentiles) to capture potential non-linear dose-response relationships with each LCoGS indicator. Wald tests assess overall non-linearity.</w:t>
      </w:r>
    </w:p>
    <w:p>
      <w:pPr>
        <w:spacing w:after="120" w:before="0" w:line="360"/>
        <w:jc w:val="both"/>
      </w:pPr>
      <w:r>
        <w:t xml:space="preserve">All models are estimated separately for each LCoGS indicator (secondary outcomes) and for the composite score (primary outcome). Standard errors are clustered at the state level to account for within-state correlation. Models are estimated using Stata 17 or R (plm and lme4 packages).</w:t>
      </w:r>
    </w:p>
    <w:p>
      <w:pPr>
        <w:pStyle w:val="Heading3"/>
        <w:spacing w:after="120" w:before="240" w:line="360"/>
        <w:jc w:val="left"/>
      </w:pPr>
      <w:r>
        <w:t xml:space="preserve">2.7.3 Machine Learning Analysis</w:t>
      </w:r>
    </w:p>
    <w:p>
      <w:pPr>
        <w:spacing w:after="120" w:before="0" w:line="360"/>
        <w:jc w:val="both"/>
      </w:pPr>
      <w:r>
        <w:t xml:space="preserve">Gradient Boosted Machines (GBM) are used as a complementary predictive approach. XGBoost models are trained to predict each LCoGS indicator from the full set of municipal-level urban development variables. Model performance is assessed via 10-fold cross-validation (stratified by state). Variable importance is interpreted using SHAP (SHapley Additive exPlanations) values</w:t>
      </w:r>
      <w:r>
        <w:rPr>
          <w:rStyle w:val="FootnoteReference"/>
        </w:rPr>
        <w:footnoteReference w:id="4"/>
      </w:r>
      <w:r>
        <w:t xml:space="preserve">, providing both global importance rankings and observation-level explanations. SHAP dependence plots visualize the marginal effect of each predictor on the outcome.</w:t>
      </w:r>
    </w:p>
    <w:p>
      <w:pPr>
        <w:pStyle w:val="Heading3"/>
        <w:spacing w:after="120" w:before="240" w:line="360"/>
        <w:jc w:val="left"/>
      </w:pPr>
      <w:r>
        <w:t xml:space="preserve">2.7.4 Mediation and Path Analysis</w:t>
      </w:r>
    </w:p>
    <w:p>
      <w:pPr>
        <w:spacing w:after="120" w:before="0" w:line="360"/>
        <w:jc w:val="both"/>
      </w:pPr>
      <w:r>
        <w:t xml:space="preserve">Structural equation modeling (SEM) is used to test hypothesized causal pathways between urban development dimensions and surgical outcomes. A priori pathways include:</w:t>
      </w:r>
    </w:p>
    <w:p>
      <w:pPr>
        <w:pStyle w:val="ListParagraph"/>
        <w:numPr>
          <w:ilvl w:val="0"/>
          <w:numId w:val="2"/>
        </w:numPr>
        <w:spacing w:after="60" w:line="360"/>
        <w:jc w:val="both"/>
      </w:pPr>
      <w:r>
        <w:t xml:space="preserve">Technology → Human Capital → SAO Density → POMR</w:t>
      </w:r>
    </w:p>
    <w:p>
      <w:pPr>
        <w:pStyle w:val="ListParagraph"/>
        <w:numPr>
          <w:ilvl w:val="0"/>
          <w:numId w:val="2"/>
        </w:numPr>
        <w:spacing w:after="60" w:line="360"/>
        <w:jc w:val="both"/>
      </w:pPr>
      <w:r>
        <w:t xml:space="preserve">Economy → Governance → Health Infrastructure → Bellwether Access</w:t>
      </w:r>
    </w:p>
    <w:p>
      <w:pPr>
        <w:pStyle w:val="ListParagraph"/>
        <w:numPr>
          <w:ilvl w:val="0"/>
          <w:numId w:val="2"/>
        </w:numPr>
        <w:spacing w:after="60" w:line="360"/>
        <w:jc w:val="both"/>
      </w:pPr>
      <w:r>
        <w:t xml:space="preserve">Social Cohesion → Financial Protection → Catastrophic Expenditure</w:t>
      </w:r>
    </w:p>
    <w:p>
      <w:pPr>
        <w:spacing w:after="120" w:before="0" w:line="360"/>
        <w:jc w:val="both"/>
      </w:pPr>
      <w:r>
        <w:t xml:space="preserve">Models are estimated with robust maximum likelihood and assessed for fit using RMSEA (&lt;0.06), CFI (&gt;0.95), and SRMR (&lt;0.08).</w:t>
      </w:r>
    </w:p>
    <w:p>
      <w:pPr>
        <w:spacing w:after="120" w:before="0" w:line="360"/>
        <w:jc w:val="both"/>
      </w:pPr>
      <w:r>
        <w:t xml:space="preserve">We hypothesize that health governance variables (from POLIS/PCDaS) mediate the relationship between urban development (CUDS) and surgical outcomes (LCoGS). Specifically, municipalities with higher CUDS may have stronger health governance (Municipal Health Council, Municipal Health Plan), which in turn improves surgical system performance. This mediation pathway will be tested using structural equation modeling (SEM). An additional mediation pathway is hypothesized through primary health care effectiveness: municipalities with higher CUDS → lower ICSAP hospitalization rates (indicating stronger PHC) → better surgical system performance (as effective PHC reduces surgical demand while improving referral systems).</w:t>
      </w:r>
    </w:p>
    <w:p>
      <w:pPr>
        <w:pStyle w:val="Heading3"/>
        <w:spacing w:after="120" w:before="240" w:line="360"/>
        <w:jc w:val="left"/>
      </w:pPr>
      <w:r>
        <w:t xml:space="preserve">2.7.5 Sensitivity Analyses</w:t>
      </w:r>
    </w:p>
    <w:p>
      <w:pPr>
        <w:pStyle w:val="ListParagraph"/>
        <w:numPr>
          <w:ilvl w:val="0"/>
          <w:numId w:val="2"/>
        </w:numPr>
        <w:spacing w:after="60" w:line="360"/>
        <w:jc w:val="both"/>
      </w:pPr>
      <w:r>
        <w:t xml:space="preserve">Comparison of results using primary analytic sample (~100 municipalities) vs. full sample (5,570 municipalities)</w:t>
      </w:r>
    </w:p>
    <w:p>
      <w:pPr>
        <w:pStyle w:val="ListParagraph"/>
        <w:numPr>
          <w:ilvl w:val="0"/>
          <w:numId w:val="2"/>
        </w:numPr>
        <w:spacing w:after="60" w:line="360"/>
        <w:jc w:val="both"/>
      </w:pPr>
      <w:r>
        <w:t xml:space="preserve">Alternative weighting schemes for CUDS (equal, PCA, expert-elicited)</w:t>
      </w:r>
    </w:p>
    <w:p>
      <w:pPr>
        <w:pStyle w:val="ListParagraph"/>
        <w:numPr>
          <w:ilvl w:val="0"/>
          <w:numId w:val="2"/>
        </w:numPr>
        <w:spacing w:after="60" w:line="360"/>
        <w:jc w:val="both"/>
      </w:pPr>
      <w:r>
        <w:t xml:space="preserve">Exclusion of COVID-19 pandemic years (2020–2021) to assess whether associations are driven by pandemic disruptions</w:t>
      </w:r>
    </w:p>
    <w:p>
      <w:pPr>
        <w:pStyle w:val="ListParagraph"/>
        <w:numPr>
          <w:ilvl w:val="0"/>
          <w:numId w:val="2"/>
        </w:numPr>
        <w:spacing w:after="60" w:line="360"/>
        <w:jc w:val="both"/>
      </w:pPr>
      <w:r>
        <w:t xml:space="preserve">Bootstrapped 95% confidence intervals for CUDS municipal rankings (1,000 replications)</w:t>
      </w:r>
    </w:p>
    <w:p>
      <w:pPr>
        <w:pStyle w:val="ListParagraph"/>
        <w:numPr>
          <w:ilvl w:val="0"/>
          <w:numId w:val="2"/>
        </w:numPr>
        <w:spacing w:after="60" w:line="360"/>
        <w:jc w:val="both"/>
      </w:pPr>
      <w:r>
        <w:t xml:space="preserve">Leave-one-dimension-out analysis: recalculation of CUDS excluding each dimension in turn to assess sensitivity to any single dimension</w:t>
      </w:r>
    </w:p>
    <w:p>
      <w:pPr>
        <w:pStyle w:val="ListParagraph"/>
        <w:numPr>
          <w:ilvl w:val="0"/>
          <w:numId w:val="2"/>
        </w:numPr>
        <w:spacing w:after="60" w:line="360"/>
        <w:jc w:val="both"/>
      </w:pPr>
      <w:r>
        <w:t xml:space="preserve">Alternative outcome definition: surgical volume restricted to major/complex procedures only</w:t>
      </w:r>
    </w:p>
    <w:p>
      <w:r>
        <w:br w:type="page"/>
      </w:r>
    </w:p>
    <w:p>
      <w:pPr>
        <w:pStyle w:val="Heading2"/>
        <w:spacing w:after="120" w:before="240" w:line="360"/>
        <w:jc w:val="left"/>
      </w:pPr>
      <w:r>
        <w:t xml:space="preserve">2.8 Handling of Missing Data</w:t>
      </w:r>
    </w:p>
    <w:p>
      <w:pPr>
        <w:spacing w:after="120" w:before="0" w:line="360"/>
        <w:jc w:val="both"/>
      </w:pPr>
      <w:r>
        <w:t xml:space="preserve">Missing data are expected particularly for smaller municipalities and earlier study years. The following approach is adopted:</w:t>
      </w:r>
    </w:p>
    <w:p>
      <w:pPr>
        <w:pStyle w:val="ListParagraph"/>
        <w:numPr>
          <w:ilvl w:val="0"/>
          <w:numId w:val="2"/>
        </w:numPr>
        <w:spacing w:after="60" w:line="360"/>
        <w:jc w:val="both"/>
      </w:pPr>
      <w:r>
        <w:rPr>
          <w:b/>
          <w:bCs/>
        </w:rPr>
        <w:t xml:space="preserve">Assessment: </w:t>
      </w:r>
      <w:r>
        <w:t xml:space="preserve">Little's MCAR test is applied to assess whether data are missing completely at random. Patterns are visualized using missingness heatmaps (variables × municipalities × years).</w:t>
      </w:r>
    </w:p>
    <w:p>
      <w:pPr>
        <w:pStyle w:val="ListParagraph"/>
        <w:numPr>
          <w:ilvl w:val="0"/>
          <w:numId w:val="2"/>
        </w:numPr>
        <w:spacing w:after="60" w:line="360"/>
        <w:jc w:val="both"/>
      </w:pPr>
      <w:r>
        <w:rPr>
          <w:b/>
          <w:bCs/>
        </w:rPr>
        <w:t xml:space="preserve">Imputation: </w:t>
      </w:r>
      <w:r>
        <w:t xml:space="preserve">Multiple imputation by chained equations (MICE) is used for municipal indicators with ≤30% missing values. Imputation models include all available predictors within the same dimension plus geographic identifiers (state, region) and population size. Twenty imputed datasets are generated, with results pooled using Rubin's rules.</w:t>
      </w:r>
    </w:p>
    <w:p>
      <w:pPr>
        <w:pStyle w:val="ListParagraph"/>
        <w:numPr>
          <w:ilvl w:val="0"/>
          <w:numId w:val="2"/>
        </w:numPr>
        <w:spacing w:after="60" w:line="360"/>
        <w:jc w:val="both"/>
      </w:pPr>
      <w:r>
        <w:rPr>
          <w:b/>
          <w:bCs/>
        </w:rPr>
        <w:t xml:space="preserve">Exclusion threshold: </w:t>
      </w:r>
      <w:r>
        <w:t xml:space="preserve">Municipalities missing &gt;30% of the total indicator set are excluded from the primary analysis. The number and characteristics of excluded municipalities are reported.</w:t>
      </w:r>
    </w:p>
    <w:p>
      <w:pPr>
        <w:pStyle w:val="ListParagraph"/>
        <w:numPr>
          <w:ilvl w:val="0"/>
          <w:numId w:val="2"/>
        </w:numPr>
        <w:spacing w:after="60" w:line="360"/>
        <w:jc w:val="both"/>
      </w:pPr>
      <w:r>
        <w:rPr>
          <w:b/>
          <w:bCs/>
        </w:rPr>
        <w:t xml:space="preserve">Complete-case sensitivity: </w:t>
      </w:r>
      <w:r>
        <w:t xml:space="preserve">A complete-case analysis (municipalities with no missing data) is conducted as a sensitivity check.</w:t>
      </w:r>
    </w:p>
    <w:p>
      <w:pPr>
        <w:pStyle w:val="Heading2"/>
        <w:spacing w:after="120" w:before="240" w:line="360"/>
        <w:jc w:val="left"/>
      </w:pPr>
      <w:r>
        <w:t xml:space="preserve">2.9 Ethical Considerations</w:t>
      </w:r>
    </w:p>
    <w:p>
      <w:pPr>
        <w:spacing w:after="120" w:before="0" w:line="360"/>
        <w:jc w:val="both"/>
      </w:pPr>
      <w:r>
        <w:t xml:space="preserve">This study is an ecological analysis using exclusively publicly available, de-identified administrative data from Brazilian government databases (DATASUS, IBGE, IPEA, and related agencies). No individual-level data are accessed or analyzed. All data sources are open access under Brazilian data transparency laws. In accordance with Brazilian Resolution No. 510/2016 of the National Health Council (Conselho Nacional de Saúde)</w:t>
      </w:r>
      <w:r>
        <w:rPr>
          <w:rStyle w:val="FootnoteReference"/>
        </w:rPr>
        <w:footnoteReference w:id="9"/>
      </w:r>
      <w:r>
        <w:t xml:space="preserve">, research using publicly available databases with aggregated data does not require ethics committee (CEP/CONEP) review. The study protocol will be pre-registered on the Open Science Framework (OSF) prior to data analysis.</w:t>
      </w:r>
    </w:p>
    <w:p>
      <w:r>
        <w:br w:type="page"/>
      </w:r>
    </w:p>
    <w:p>
      <w:pPr>
        <w:pStyle w:val="Heading1"/>
        <w:spacing w:after="120" w:before="360" w:line="360"/>
        <w:jc w:val="left"/>
      </w:pPr>
      <w:r>
        <w:t xml:space="preserve">3. Conceptual Framework</w:t>
      </w:r>
    </w:p>
    <w:p>
      <w:pPr>
        <w:spacing w:after="120" w:before="0" w:line="360"/>
        <w:jc w:val="both"/>
      </w:pPr>
      <w:r>
        <w:rPr>
          <w:b/>
          <w:bCs/>
          <w:i/>
          <w:iCs/>
        </w:rPr>
        <w:t xml:space="preserve">Figure 1 </w:t>
      </w:r>
      <w:r>
        <w:t xml:space="preserve">presents the ICSKG-BR conceptual framework, illustrating the hypothesized relationships between the nine CIMI urban development dimensions and the six LCoGS surgical indicators.</w:t>
      </w:r>
    </w:p>
    <w:p>
      <w:pPr>
        <w:spacing w:after="120" w:before="0" w:line="360"/>
        <w:jc w:val="both"/>
      </w:pPr>
      <w:r>
        <w:t xml:space="preserve"/>
      </w:r>
    </w:p>
    <w:p>
      <w:pPr>
        <w:pBdr>
          <w:top w:val="single" w:color="D4D1CA" w:sz="1"/>
          <w:bottom w:val="single" w:color="D4D1CA" w:sz="1"/>
          <w:left w:val="single" w:color="D4D1CA" w:sz="1"/>
          <w:right w:val="single" w:color="D4D1CA" w:sz="1"/>
        </w:pBdr>
        <w:shd w:fill="F7F6F2" w:val="clear"/>
        <w:spacing w:after="80"/>
        <w:jc w:val="center"/>
      </w:pPr>
      <w:r>
        <w:rPr>
          <w:sz w:val="8"/>
          <w:szCs w:val="8"/>
        </w:rPr>
        <w:t xml:space="preserve"/>
      </w:r>
    </w:p>
    <w:p>
      <w:pPr>
        <w:pBdr>
          <w:left w:val="single" w:color="D4D1CA" w:sz="1"/>
          <w:right w:val="single" w:color="D4D1CA" w:sz="1"/>
        </w:pBdr>
        <w:shd w:fill="F7F6F2" w:val="clear"/>
        <w:spacing w:after="0"/>
        <w:jc w:val="center"/>
      </w:pPr>
      <w:r>
        <w:rPr>
          <w:rFonts w:ascii="Arial" w:cs="Arial" w:eastAsia="Arial" w:hAnsi="Arial"/>
          <w:b/>
          <w:bCs/>
          <w:sz w:val="22"/>
          <w:szCs w:val="22"/>
        </w:rPr>
        <w:t xml:space="preserve">Figure 1: ICSKG-BR Conceptual Framework</w:t>
      </w:r>
    </w:p>
    <w:p>
      <w:pPr>
        <w:pBdr>
          <w:left w:val="single" w:color="D4D1CA" w:sz="1"/>
          <w:right w:val="single" w:color="D4D1CA" w:sz="1"/>
        </w:pBdr>
        <w:shd w:fill="F7F6F2" w:val="clear"/>
        <w:spacing w:after="60" w:before="120"/>
        <w:jc w:val="center"/>
      </w:pPr>
      <w:r>
        <w:rPr>
          <w:rFonts w:ascii="Arial" w:cs="Arial" w:eastAsia="Arial" w:hAnsi="Arial"/>
          <w:b/>
          <w:bCs/>
          <w:color w:val="01696F"/>
          <w:sz w:val="20"/>
          <w:szCs w:val="20"/>
        </w:rPr>
        <w:t xml:space="preserve">[LEFT COLUMN]  9 CIMI Dimensions</w:t>
      </w:r>
    </w:p>
    <w:p>
      <w:pPr>
        <w:pBdr>
          <w:left w:val="single" w:color="D4D1CA" w:sz="1"/>
          <w:right w:val="single" w:color="D4D1CA" w:sz="1"/>
        </w:pBdr>
        <w:shd w:fill="F7F6F2" w:val="clear"/>
        <w:spacing w:after="40"/>
        <w:jc w:val="center"/>
      </w:pPr>
      <w:r>
        <w:rPr>
          <w:rFonts w:ascii="Arial" w:cs="Arial" w:eastAsia="Arial" w:hAnsi="Arial"/>
          <w:sz w:val="20"/>
          <w:szCs w:val="20"/>
        </w:rPr>
        <w:t xml:space="preserve">Human Capital  |  Social Cohesion  |  Economy  |  Governance  |  Environment</w:t>
      </w:r>
    </w:p>
    <w:p>
      <w:pPr>
        <w:pBdr>
          <w:left w:val="single" w:color="D4D1CA" w:sz="1"/>
          <w:right w:val="single" w:color="D4D1CA" w:sz="1"/>
        </w:pBdr>
        <w:shd w:fill="F7F6F2" w:val="clear"/>
        <w:spacing w:after="80"/>
        <w:jc w:val="center"/>
      </w:pPr>
      <w:r>
        <w:rPr>
          <w:rFonts w:ascii="Arial" w:cs="Arial" w:eastAsia="Arial" w:hAnsi="Arial"/>
          <w:sz w:val="20"/>
          <w:szCs w:val="20"/>
        </w:rPr>
        <w:t xml:space="preserve">Mobility  |  Urban Planning  |  International Projection  |  Technology</w:t>
      </w:r>
    </w:p>
    <w:p>
      <w:pPr>
        <w:pBdr>
          <w:left w:val="single" w:color="D4D1CA" w:sz="1"/>
          <w:right w:val="single" w:color="D4D1CA" w:sz="1"/>
        </w:pBdr>
        <w:shd w:fill="F7F6F2" w:val="clear"/>
        <w:spacing w:after="80"/>
        <w:jc w:val="center"/>
      </w:pPr>
      <w:r>
        <w:rPr>
          <w:rFonts w:ascii="Arial" w:cs="Arial" w:eastAsia="Arial" w:hAnsi="Arial"/>
          <w:color w:val="01696F"/>
          <w:sz w:val="20"/>
          <w:szCs w:val="20"/>
        </w:rPr>
        <w:t xml:space="preserve">──────────── ▶  Aggregation (Geometric Mean)  ▶ ────────────</w:t>
      </w:r>
    </w:p>
    <w:p>
      <w:pPr>
        <w:pBdr>
          <w:left w:val="single" w:color="D4D1CA" w:sz="1"/>
          <w:right w:val="single" w:color="D4D1CA" w:sz="1"/>
        </w:pBdr>
        <w:shd w:fill="F7F6F2" w:val="clear"/>
        <w:spacing w:after="80"/>
        <w:jc w:val="center"/>
      </w:pPr>
      <w:r>
        <w:rPr>
          <w:rFonts w:ascii="Arial" w:cs="Arial" w:eastAsia="Arial" w:hAnsi="Arial"/>
          <w:b/>
          <w:bCs/>
          <w:color w:val="01696F"/>
          <w:sz w:val="20"/>
          <w:szCs w:val="20"/>
        </w:rPr>
        <w:t xml:space="preserve">[CENTER]  Composite Urban Development Score (CUDS)</w:t>
      </w:r>
    </w:p>
    <w:p>
      <w:pPr>
        <w:pBdr>
          <w:left w:val="single" w:color="D4D1CA" w:sz="1"/>
          <w:right w:val="single" w:color="D4D1CA" w:sz="1"/>
        </w:pBdr>
        <w:shd w:fill="F7F6F2" w:val="clear"/>
        <w:spacing w:after="80"/>
        <w:jc w:val="center"/>
      </w:pPr>
      <w:r>
        <w:rPr>
          <w:rFonts w:ascii="Arial" w:cs="Arial" w:eastAsia="Arial" w:hAnsi="Arial"/>
          <w:color w:val="01696F"/>
          <w:sz w:val="20"/>
          <w:szCs w:val="20"/>
        </w:rPr>
        <w:t xml:space="preserve">──────────── ▶  Panel Regression / GBM / SEM  ▶ ────────────</w:t>
      </w:r>
    </w:p>
    <w:p>
      <w:pPr>
        <w:pBdr>
          <w:left w:val="single" w:color="D4D1CA" w:sz="1"/>
          <w:right w:val="single" w:color="D4D1CA" w:sz="1"/>
        </w:pBdr>
        <w:shd w:fill="F7F6F2" w:val="clear"/>
        <w:spacing w:after="60"/>
        <w:jc w:val="center"/>
      </w:pPr>
      <w:r>
        <w:rPr>
          <w:rFonts w:ascii="Arial" w:cs="Arial" w:eastAsia="Arial" w:hAnsi="Arial"/>
          <w:b/>
          <w:bCs/>
          <w:color w:val="01696F"/>
          <w:sz w:val="20"/>
          <w:szCs w:val="20"/>
        </w:rPr>
        <w:t xml:space="preserve">[RIGHT COLUMN]  6 LCoGS Indicators</w:t>
      </w:r>
    </w:p>
    <w:p>
      <w:pPr>
        <w:pBdr>
          <w:left w:val="single" w:color="D4D1CA" w:sz="1"/>
          <w:right w:val="single" w:color="D4D1CA" w:sz="1"/>
        </w:pBdr>
        <w:shd w:fill="F7F6F2" w:val="clear"/>
        <w:spacing w:after="40"/>
        <w:jc w:val="center"/>
      </w:pPr>
      <w:r>
        <w:rPr>
          <w:rFonts w:ascii="Arial" w:cs="Arial" w:eastAsia="Arial" w:hAnsi="Arial"/>
          <w:sz w:val="20"/>
          <w:szCs w:val="20"/>
        </w:rPr>
        <w:t xml:space="preserve">Bellwether Access  |  SAO Density  |  Surgical Volume</w:t>
      </w:r>
    </w:p>
    <w:p>
      <w:pPr>
        <w:pBdr>
          <w:left w:val="single" w:color="D4D1CA" w:sz="1"/>
          <w:right w:val="single" w:color="D4D1CA" w:sz="1"/>
        </w:pBdr>
        <w:shd w:fill="F7F6F2" w:val="clear"/>
        <w:spacing w:after="60"/>
        <w:jc w:val="center"/>
      </w:pPr>
      <w:r>
        <w:rPr>
          <w:rFonts w:ascii="Arial" w:cs="Arial" w:eastAsia="Arial" w:hAnsi="Arial"/>
          <w:sz w:val="20"/>
          <w:szCs w:val="20"/>
        </w:rPr>
        <w:t xml:space="preserve">POMR  |  Impoverishing Expenditure  |  Catastrophic Expenditure</w:t>
      </w:r>
    </w:p>
    <w:p>
      <w:pPr>
        <w:pBdr>
          <w:left w:val="single" w:color="D4D1CA" w:sz="1"/>
          <w:right w:val="single" w:color="D4D1CA" w:sz="1"/>
        </w:pBdr>
        <w:shd w:fill="F7F6F2" w:val="clear"/>
        <w:spacing w:after="80"/>
        <w:jc w:val="center"/>
      </w:pPr>
      <w:r>
        <w:rPr>
          <w:rFonts w:ascii="Arial" w:cs="Arial" w:eastAsia="Arial" w:hAnsi="Arial"/>
          <w:color w:val="01696F"/>
          <w:sz w:val="20"/>
          <w:szCs w:val="20"/>
        </w:rPr>
        <w:t xml:space="preserve">──────────── ▶ ────────────</w:t>
      </w:r>
    </w:p>
    <w:p>
      <w:pPr>
        <w:pBdr>
          <w:left w:val="single" w:color="D4D1CA" w:sz="1"/>
          <w:right w:val="single" w:color="D4D1CA" w:sz="1"/>
        </w:pBdr>
        <w:shd w:fill="F7F6F2" w:val="clear"/>
        <w:spacing w:after="60"/>
        <w:jc w:val="center"/>
      </w:pPr>
      <w:r>
        <w:rPr>
          <w:rFonts w:ascii="Arial" w:cs="Arial" w:eastAsia="Arial" w:hAnsi="Arial"/>
          <w:b/>
          <w:bCs/>
          <w:color w:val="01696F"/>
          <w:sz w:val="20"/>
          <w:szCs w:val="20"/>
        </w:rPr>
        <w:t xml:space="preserve">[BOTTOM]  Composite LCoGS Score (Primary Outcome)</w:t>
      </w:r>
    </w:p>
    <w:p>
      <w:pPr>
        <w:pBdr>
          <w:bottom w:val="single" w:color="D4D1CA" w:sz="1"/>
          <w:left w:val="single" w:color="D4D1CA" w:sz="1"/>
          <w:right w:val="single" w:color="D4D1CA" w:sz="1"/>
        </w:pBdr>
        <w:shd w:fill="F7F6F2" w:val="clear"/>
        <w:spacing w:after="120"/>
        <w:jc w:val="center"/>
      </w:pPr>
      <w:r>
        <w:rPr>
          <w:rFonts w:ascii="Arial" w:cs="Arial" w:eastAsia="Arial" w:hAnsi="Arial"/>
          <w:i/>
          <w:iCs/>
          <w:color w:val="7A7974"/>
          <w:sz w:val="18"/>
          <w:szCs w:val="18"/>
        </w:rPr>
        <w:t xml:space="preserve">Covariates: Population, Density, Urbanization, Region, State FE, Year FE, SUS Dependence</w:t>
      </w:r>
    </w:p>
    <w:p>
      <w:pPr>
        <w:spacing w:after="120" w:before="0" w:line="360"/>
        <w:jc w:val="both"/>
      </w:pPr>
      <w:r>
        <w:t xml:space="preserve"/>
      </w:r>
    </w:p>
    <w:p>
      <w:pPr>
        <w:spacing w:after="120" w:before="0" w:line="360"/>
        <w:jc w:val="both"/>
      </w:pPr>
      <w:r>
        <w:t xml:space="preserve">The framework posits that each of the nine urban development dimensions contributes independently and synergistically to surgical system performance. The geometric-mean aggregation into the CUDS reflects the assumption that balanced development across dimensions is more conducive to surgical system performance than extreme development in a single dimension. Arrows represent hypothesized causal pathways tested through panel regression, machine learning (GBM with SHAP interpretation), and structural equation modeling.</w:t>
      </w:r>
    </w:p>
    <w:p>
      <w:r>
        <w:br w:type="page"/>
      </w:r>
    </w:p>
    <w:p>
      <w:pPr>
        <w:pStyle w:val="Heading1"/>
        <w:spacing w:after="120" w:before="360" w:line="360"/>
        <w:jc w:val="left"/>
      </w:pPr>
      <w:r>
        <w:t xml:space="preserve">4. Expected Outputs</w:t>
      </w:r>
    </w:p>
    <w:p>
      <w:pPr>
        <w:pStyle w:val="ListParagraph"/>
        <w:numPr>
          <w:ilvl w:val="0"/>
          <w:numId w:val="2"/>
        </w:numPr>
        <w:spacing w:after="60" w:line="360"/>
        <w:jc w:val="both"/>
      </w:pPr>
      <w:r>
        <w:rPr>
          <w:b/>
          <w:bCs/>
        </w:rPr>
        <w:t xml:space="preserve">Municipal-level LCoGS dashboard for Brazil: </w:t>
      </w:r>
      <w:r>
        <w:t xml:space="preserve">The first comprehensive calculation of all six LCoGS indicators for Brazil's 5,570 municipalities across nine years (2015–2023), providing an unprecedented granular view of surgical system performance.</w:t>
      </w:r>
    </w:p>
    <w:p>
      <w:pPr>
        <w:pStyle w:val="ListParagraph"/>
        <w:numPr>
          <w:ilvl w:val="0"/>
          <w:numId w:val="2"/>
        </w:numPr>
        <w:spacing w:after="60" w:line="360"/>
        <w:jc w:val="both"/>
      </w:pPr>
      <w:r>
        <w:rPr>
          <w:b/>
          <w:bCs/>
        </w:rPr>
        <w:t xml:space="preserve">Composite Urban Development Score (CUDS): </w:t>
      </w:r>
      <w:r>
        <w:t xml:space="preserve">A validated composite index of municipal urban development mapped to the IESE CIMI framework, applicable to all Brazilian municipalities.</w:t>
      </w:r>
    </w:p>
    <w:p>
      <w:pPr>
        <w:pStyle w:val="ListParagraph"/>
        <w:numPr>
          <w:ilvl w:val="0"/>
          <w:numId w:val="2"/>
        </w:numPr>
        <w:spacing w:after="60" w:line="360"/>
        <w:jc w:val="both"/>
      </w:pPr>
      <w:r>
        <w:rPr>
          <w:b/>
          <w:bCs/>
        </w:rPr>
        <w:t xml:space="preserve">Dose-response curves: </w:t>
      </w:r>
      <w:r>
        <w:t xml:space="preserve">CUDS → each LCoGS indicator, characterizing the shape and magnitude of the relationship between urban development and surgical system performance.</w:t>
      </w:r>
    </w:p>
    <w:p>
      <w:pPr>
        <w:pStyle w:val="ListParagraph"/>
        <w:numPr>
          <w:ilvl w:val="0"/>
          <w:numId w:val="2"/>
        </w:numPr>
        <w:spacing w:after="60" w:line="360"/>
        <w:jc w:val="both"/>
      </w:pPr>
      <w:r>
        <w:rPr>
          <w:b/>
          <w:bCs/>
        </w:rPr>
        <w:t xml:space="preserve">Dimension-specific effect estimates: </w:t>
      </w:r>
      <w:r>
        <w:t xml:space="preserve">Identification of which CIMI dimensions (e.g., human capital, technology, governance) are most strongly and independently associated with surgical access and outcomes.</w:t>
      </w:r>
    </w:p>
    <w:p>
      <w:pPr>
        <w:pStyle w:val="ListParagraph"/>
        <w:numPr>
          <w:ilvl w:val="0"/>
          <w:numId w:val="2"/>
        </w:numPr>
        <w:spacing w:after="60" w:line="360"/>
        <w:jc w:val="both"/>
      </w:pPr>
      <w:r>
        <w:rPr>
          <w:b/>
          <w:bCs/>
        </w:rPr>
        <w:t xml:space="preserve">Predictive model: </w:t>
      </w:r>
      <w:r>
        <w:t xml:space="preserve">A trained GBM model with SHAP-derived variable importance rankings, enabling prediction of surgical indicators from municipal development profiles.</w:t>
      </w:r>
    </w:p>
    <w:p>
      <w:pPr>
        <w:pStyle w:val="ListParagraph"/>
        <w:numPr>
          <w:ilvl w:val="0"/>
          <w:numId w:val="2"/>
        </w:numPr>
        <w:spacing w:after="60" w:line="360"/>
        <w:jc w:val="both"/>
      </w:pPr>
      <w:r>
        <w:rPr>
          <w:b/>
          <w:bCs/>
        </w:rPr>
        <w:t xml:space="preserve">Policy brief: </w:t>
      </w:r>
      <w:r>
        <w:t xml:space="preserve">Actionable evidence on which dimensions of urban development most efficiently improve surgical access, informing resource allocation and investment priorities at the municipal level.</w:t>
      </w:r>
    </w:p>
    <w:p>
      <w:pPr>
        <w:pStyle w:val="Heading1"/>
        <w:spacing w:after="120" w:before="360" w:line="360"/>
        <w:jc w:val="left"/>
      </w:pPr>
      <w:r>
        <w:t xml:space="preserve">5. Study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Period</w:t>
            </w:r>
          </w:p>
        </w:tc>
        <w:tc>
          <w:tcPr>
            <w:tcW w:type="dxa" w:w="48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Activities</w:t>
            </w:r>
          </w:p>
        </w:tc>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Deliverables</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Months 1–2</w:t>
            </w:r>
          </w:p>
        </w:tc>
        <w:tc>
          <w:tcPr>
            <w:tcW w:type="dxa" w:w="48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Data extraction from DATASUS (SIH/CNES/SIM), IBGE, POLIS/PCDaS, FIRJAN, ANATEL, RAIS, INEP, and all municipal-level data sources. CNES geospatial analysis for LCoGS Indicator 1 (bellwether access). Data cleaning, harmonization of IBGE codes, linkage across databases. Missingness assessment.</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Clean, linked municipal dataset (N = 5,570 × 9 years)</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Months 3–4</w:t>
            </w:r>
          </w:p>
        </w:tc>
        <w:tc>
          <w:tcPr>
            <w:tcW w:type="dxa" w:w="48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Construction of LCoGS indicators at municipal level. CUDS index construction and validation against Connected Smart Cities Ranking (RCSC) and IDSC-BR. Variable selection, normalization, weighting (3 methods), aggregation, robustness testing.</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Validated LCoGS indicators and CUDS for all municipalities</w:t>
            </w:r>
          </w:p>
        </w:tc>
      </w:tr>
      <w:tr>
        <w:trPr>
          <w:tblHeader w:val="false"/>
        </w:trP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Months 5–6</w:t>
            </w:r>
          </w:p>
        </w:tc>
        <w:tc>
          <w:tcPr>
            <w:tcW w:type="dxa" w:w="48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Panel regression analysis, GBM/SHAP modeling, structural equation modeling (including health governance mediation), dose-response analysis. Multiple imputation. Sensitivity analyses.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Complete analytical results, figures, and tables</w:t>
            </w:r>
          </w:p>
        </w:tc>
      </w:tr>
      <w:tr>
        <w:trPr>
          <w:tblHeader w:val="false"/>
        </w:trPr>
        <w:tc>
          <w:tcPr>
            <w:tcW w:type="dxa" w:w="20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Months 7–8</w:t>
            </w:r>
          </w:p>
        </w:tc>
        <w:tc>
          <w:tcPr>
            <w:tcW w:type="dxa" w:w="48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Manuscript preparation and submission (target: BMJ Global Health or World Journal of Surgery). STROBE/RECORD checklist compliance. Policy brief preparation.</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Submitted manuscript and policy brief</w:t>
            </w:r>
          </w:p>
        </w:tc>
      </w:tr>
    </w:tbl>
    <w:p>
      <w:pPr>
        <w:spacing w:after="200" w:before="0" w:line="360"/>
        <w:jc w:val="both"/>
      </w:pPr>
      <w:r>
        <w:t xml:space="preserve"/>
      </w:r>
    </w:p>
    <w:p>
      <w:r>
        <w:br w:type="page"/>
      </w:r>
    </w:p>
    <w:p>
      <w:pPr>
        <w:pStyle w:val="Heading1"/>
        <w:spacing w:after="120" w:before="360" w:line="360"/>
        <w:jc w:val="left"/>
      </w:pPr>
      <w:r>
        <w:t xml:space="preserve">6. STROBE/RECORD Compliance Checklist</w:t>
      </w:r>
    </w:p>
    <w:p>
      <w:pPr>
        <w:spacing w:after="120" w:before="0" w:line="360"/>
        <w:jc w:val="both"/>
      </w:pPr>
      <w:r>
        <w:t xml:space="preserve">The following table maps key STROBE reporting items to the corresponding sections of this protocol, with RECORD-specific extensions noted where applicable.</w:t>
      </w:r>
    </w:p>
    <w:p>
      <w:pPr>
        <w:spacing w:after="120" w:before="0" w:line="36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3500"/>
        <w:gridCol w:w="2500"/>
      </w:tblGrid>
      <w:tr>
        <w:trPr>
          <w:tblHeader/>
        </w:trPr>
        <w:tc>
          <w:tcPr>
            <w:tcW w:type="dxa" w:w="7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w:t>
            </w:r>
          </w:p>
        </w:tc>
        <w:tc>
          <w:tcPr>
            <w:tcW w:type="dxa" w:w="26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STROBE Item</w:t>
            </w:r>
          </w:p>
        </w:tc>
        <w:tc>
          <w:tcPr>
            <w:tcW w:type="dxa" w:w="3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Recommendation</w:t>
            </w:r>
          </w:p>
        </w:tc>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line="276"/>
              <w:jc w:val="left"/>
            </w:pPr>
            <w:r>
              <w:rPr>
                <w:rFonts w:ascii="Arial" w:cs="Arial" w:eastAsia="Arial" w:hAnsi="Arial"/>
                <w:b/>
                <w:bCs/>
                <w:color w:val="FFFFFF"/>
                <w:sz w:val="20"/>
                <w:szCs w:val="20"/>
              </w:rPr>
              <w:t xml:space="preserve">Protocol Section</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Title and abstract</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Indicate study design; include informative abstract</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Title Page</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2</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Background/rationale</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Explain scientific background and rationale</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1.1–1.3</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3</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Objectives</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State specific objectives and hypotheses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1.4</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4</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Study design</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Present key elements of study design</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2.1</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5</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Setting</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Describe setting, locations, and dates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2.2</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6</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Participants</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Give eligibility criteria and selection methods</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2.2</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7</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Variables</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Define outcomes, exposures, confounders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2.4</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8</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Data sources</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color w:val="28251D"/>
                <w:sz w:val="20"/>
                <w:szCs w:val="20"/>
              </w:rPr>
              <w:t xml:space="preserve">Describe data sources. RECORD: describe databases, linkage methods</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2.3</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9</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Bias</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Describe efforts to address potential bias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2.7.5, 2.8</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10</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Study size</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Explain how study size was arrived at</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2.2</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11</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Quantitative variables</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Explain how variables were handled in analyses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2.4, 2.5</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12</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Statistical methods</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Describe all statistical methods; subgroups; sensitivity</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2.7</w:t>
            </w:r>
          </w:p>
        </w:tc>
      </w:tr>
      <w:tr>
        <w:trPr>
          <w:tblHeader w:val="false"/>
        </w:trPr>
        <w:tc>
          <w:tcPr>
            <w:tcW w:type="dxa" w:w="7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13</w:t>
            </w:r>
          </w:p>
        </w:tc>
        <w:tc>
          <w:tcPr>
            <w:tcW w:type="dxa" w:w="26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Data access</w:t>
            </w:r>
          </w:p>
        </w:tc>
        <w:tc>
          <w:tcPr>
            <w:tcW w:type="dxa" w:w="3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color w:val="28251D"/>
                <w:sz w:val="20"/>
                <w:szCs w:val="20"/>
              </w:rPr>
              <w:t xml:space="preserve">RECORD: Describe data access, cleaning, linkage</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2.3, 2.8</w:t>
            </w:r>
          </w:p>
        </w:tc>
      </w:tr>
      <w:tr>
        <w:trPr>
          <w:tblHeader w:val="false"/>
        </w:trPr>
        <w:tc>
          <w:tcPr>
            <w:tcW w:type="dxa" w:w="7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14</w:t>
            </w:r>
          </w:p>
        </w:tc>
        <w:tc>
          <w:tcPr>
            <w:tcW w:type="dxa" w:w="266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Ethics</w:t>
            </w:r>
          </w:p>
        </w:tc>
        <w:tc>
          <w:tcPr>
            <w:tcW w:type="dxa" w:w="3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Report ethics approval or exemption</w:t>
            </w:r>
          </w:p>
        </w:tc>
        <w:tc>
          <w:tcPr>
            <w:tcW w:type="dxa" w:w="2500"/>
            <w:tcBorders>
              <w:top w:val="single" w:color="B0B0B0" w:sz="1"/>
              <w:left w:val="single" w:color="B0B0B0" w:sz="1"/>
              <w:bottom w:val="single" w:color="B0B0B0" w:sz="1"/>
              <w:right w:val="single" w:color="B0B0B0" w:sz="1"/>
            </w:tcBorders>
            <w:shd w:fill="F3F8F8" w:val="clear"/>
            <w:tcMar>
              <w:top w:type="dxa" w:w="40"/>
              <w:left w:type="dxa" w:w="80"/>
              <w:bottom w:type="dxa" w:w="40"/>
              <w:right w:type="dxa" w:w="80"/>
            </w:tcMar>
          </w:tcPr>
          <w:p>
            <w:pPr>
              <w:spacing w:after="0" w:line="276"/>
              <w:jc w:val="left"/>
            </w:pPr>
            <w:r>
              <w:rPr>
                <w:rFonts w:ascii="Arial" w:cs="Arial" w:eastAsia="Arial" w:hAnsi="Arial"/>
                <w:b w:val="false"/>
                <w:bCs w:val="false"/>
                <w:color w:val="28251D"/>
                <w:sz w:val="20"/>
                <w:szCs w:val="20"/>
              </w:rPr>
              <w:t xml:space="preserve">Section 2.9</w:t>
            </w:r>
          </w:p>
        </w:tc>
      </w:tr>
    </w:tbl>
    <w:p>
      <w:pPr>
        <w:spacing w:after="200" w:before="0" w:line="360"/>
        <w:jc w:val="both"/>
      </w:pPr>
      <w:r>
        <w:t xml:space="preserve"/>
      </w:r>
    </w:p>
    <w:p>
      <w:r>
        <w:br w:type="page"/>
      </w:r>
    </w:p>
    <w:p>
      <w:pPr>
        <w:pStyle w:val="Heading1"/>
        <w:spacing w:after="120" w:before="360" w:line="360"/>
        <w:jc w:val="left"/>
      </w:pPr>
      <w:r>
        <w:t xml:space="preserve">7. References</w:t>
      </w:r>
    </w:p>
    <w:p>
      <w:pPr>
        <w:spacing w:after="120" w:before="0" w:line="360"/>
        <w:jc w:val="both"/>
      </w:pPr>
      <w:r>
        <w:t xml:space="preserve"/>
      </w:r>
    </w:p>
    <w:p>
      <w:pPr>
        <w:pStyle w:val="ListParagraph"/>
        <w:numPr>
          <w:ilvl w:val="0"/>
          <w:numId w:val="4"/>
        </w:numPr>
        <w:spacing w:after="80" w:line="360"/>
      </w:pPr>
      <w:r>
        <w:t xml:space="preserve">Meara JG, Leather AJM, Hagander L, et al. Global Surgery 2030: evidence and solutions for achieving health, welfare, and economic development. </w:t>
      </w:r>
      <w:r>
        <w:rPr>
          <w:i/>
          <w:iCs/>
        </w:rPr>
        <w:t xml:space="preserve">Lancet</w:t>
      </w:r>
      <w:r>
        <w:t xml:space="preserve">. 2015;386(9993):569-624. doi:10.1016/S0140-6736(15)60160-X</w:t>
      </w:r>
    </w:p>
    <w:p>
      <w:pPr>
        <w:pStyle w:val="ListParagraph"/>
        <w:numPr>
          <w:ilvl w:val="0"/>
          <w:numId w:val="4"/>
        </w:numPr>
        <w:spacing w:after="80" w:line="360"/>
      </w:pPr>
      <w:r>
        <w:t xml:space="preserve">Massenburg BB, Saluja S, Jenny HE, et al. Assessing the Brazilian surgical system with six indicators: a cross-sectional study. </w:t>
      </w:r>
      <w:r>
        <w:rPr>
          <w:i/>
          <w:iCs/>
        </w:rPr>
        <w:t xml:space="preserve">World J Surg</w:t>
      </w:r>
      <w:r>
        <w:t xml:space="preserve">. 2017;41(11):2677-2685. doi:10.1007/s00268-017-4093-8</w:t>
      </w:r>
    </w:p>
    <w:p>
      <w:pPr>
        <w:pStyle w:val="ListParagraph"/>
        <w:numPr>
          <w:ilvl w:val="0"/>
          <w:numId w:val="4"/>
        </w:numPr>
        <w:spacing w:after="80" w:line="360"/>
      </w:pPr>
      <w:r>
        <w:t xml:space="preserve">IESE Business School. IESE Cities in Motion Index (CIMI). Barcelona: IESE; 2023. Available from: https://citiesinmotion.iese.edu/</w:t>
      </w:r>
    </w:p>
    <w:p>
      <w:pPr>
        <w:pStyle w:val="ListParagraph"/>
        <w:numPr>
          <w:ilvl w:val="0"/>
          <w:numId w:val="4"/>
        </w:numPr>
        <w:spacing w:after="80" w:line="360"/>
      </w:pPr>
      <w:r>
        <w:t xml:space="preserve">Lundberg SM, Lee S-I. A unified approach to interpreting model predictions. </w:t>
      </w:r>
      <w:r>
        <w:rPr>
          <w:i/>
          <w:iCs/>
        </w:rPr>
        <w:t xml:space="preserve">Advances in Neural Information Processing Systems</w:t>
      </w:r>
      <w:r>
        <w:t xml:space="preserve">. 2017;30. Available from: https://papers.nips.cc/paper/7062</w:t>
      </w:r>
    </w:p>
    <w:p>
      <w:pPr>
        <w:pStyle w:val="ListParagraph"/>
        <w:numPr>
          <w:ilvl w:val="0"/>
          <w:numId w:val="4"/>
        </w:numPr>
        <w:spacing w:after="80" w:line="360"/>
      </w:pPr>
      <w:r>
        <w:t xml:space="preserve">Klugman J, Rodríguez F, Choi H-J. The HDI 2010: new controversies, old critiques. </w:t>
      </w:r>
      <w:r>
        <w:rPr>
          <w:i/>
          <w:iCs/>
        </w:rPr>
        <w:t xml:space="preserve">J Econ Inequal</w:t>
      </w:r>
      <w:r>
        <w:t xml:space="preserve">. 2011;9:249-288. doi:10.1007/s10888-011-9178-z</w:t>
      </w:r>
    </w:p>
    <w:p>
      <w:pPr>
        <w:pStyle w:val="ListParagraph"/>
        <w:numPr>
          <w:ilvl w:val="0"/>
          <w:numId w:val="4"/>
        </w:numPr>
        <w:spacing w:after="80" w:line="360"/>
      </w:pPr>
      <w:r>
        <w:t xml:space="preserve">Saisana M, Saltelli A. Expert Panel Review on Composite Indicators. JRC Scientific and Technical Reports. EUR 21881 EN. European Commission; 2005.</w:t>
      </w:r>
    </w:p>
    <w:p>
      <w:pPr>
        <w:pStyle w:val="ListParagraph"/>
        <w:numPr>
          <w:ilvl w:val="0"/>
          <w:numId w:val="4"/>
        </w:numPr>
        <w:spacing w:after="80" w:line="360"/>
      </w:pPr>
      <w:r>
        <w:t xml:space="preserve">von Elm E, Altman DG, Egger M, et al. The Strengthening the Reporting of Observational Studies in Epidemiology (STROBE) Statement: guidelines for reporting observational studies. </w:t>
      </w:r>
      <w:r>
        <w:rPr>
          <w:i/>
          <w:iCs/>
        </w:rPr>
        <w:t xml:space="preserve">Lancet</w:t>
      </w:r>
      <w:r>
        <w:t xml:space="preserve">. 2007;370(9596):1453-1457. doi:10.1016/S0140-6736(07)61602-X</w:t>
      </w:r>
    </w:p>
    <w:p>
      <w:pPr>
        <w:pStyle w:val="ListParagraph"/>
        <w:numPr>
          <w:ilvl w:val="0"/>
          <w:numId w:val="4"/>
        </w:numPr>
        <w:spacing w:after="80" w:line="360"/>
      </w:pPr>
      <w:r>
        <w:t xml:space="preserve">Benchimol EI, Smeeth L, Guttmann A, et al. The REporting of studies Conducted using Observational Routinely-collected health Data (RECORD) statement. </w:t>
      </w:r>
      <w:r>
        <w:rPr>
          <w:i/>
          <w:iCs/>
        </w:rPr>
        <w:t xml:space="preserve">PLoS Med</w:t>
      </w:r>
      <w:r>
        <w:t xml:space="preserve">. 2015;12(10):e1001885. doi:10.1371/journal.pmed.1001885</w:t>
      </w:r>
    </w:p>
    <w:p>
      <w:pPr>
        <w:pStyle w:val="ListParagraph"/>
        <w:numPr>
          <w:ilvl w:val="0"/>
          <w:numId w:val="4"/>
        </w:numPr>
        <w:spacing w:after="80" w:line="360"/>
      </w:pPr>
      <w:r>
        <w:t xml:space="preserve">Brasil. Resolução No. 510, de 7 de abril de 2016. Conselho Nacional de Saúde. Diário Oficial da União; 2016. Available from: https://conselho.saude.gov.br/resolucoes/2016/Reso510.pdf</w:t>
      </w:r>
    </w:p>
    <w:p>
      <w:pPr>
        <w:pStyle w:val="ListParagraph"/>
        <w:numPr>
          <w:ilvl w:val="0"/>
          <w:numId w:val="4"/>
        </w:numPr>
        <w:spacing w:after="80" w:line="360"/>
      </w:pPr>
      <w:r>
        <w:t xml:space="preserve">DATASUS. Sistema de Informações Hospitalares do SUS (SIH/SUS). Ministério da Saúde. Available from: https://datasus.saude.gov.br/</w:t>
      </w:r>
    </w:p>
    <w:p>
      <w:pPr>
        <w:pStyle w:val="ListParagraph"/>
        <w:numPr>
          <w:ilvl w:val="0"/>
          <w:numId w:val="4"/>
        </w:numPr>
        <w:spacing w:after="80" w:line="360"/>
      </w:pPr>
      <w:r>
        <w:t xml:space="preserve">DATASUS. Cadastro Nacional de Estabelecimentos de Saúde (CNES). Ministério da Saúde. Available from: https://cnes.datasus.gov.br/</w:t>
      </w:r>
    </w:p>
    <w:p>
      <w:pPr>
        <w:pStyle w:val="ListParagraph"/>
        <w:numPr>
          <w:ilvl w:val="0"/>
          <w:numId w:val="4"/>
        </w:numPr>
        <w:spacing w:after="80" w:line="360"/>
      </w:pPr>
      <w:r>
        <w:t xml:space="preserve">IBGE. Sistema IBGE de Recuperação Automática (SIDRA). Instituto Brasileiro de Geografia e Estatística. Available from: https://sidra.ibge.gov.br/</w:t>
      </w:r>
    </w:p>
    <w:p>
      <w:pPr>
        <w:pStyle w:val="ListParagraph"/>
        <w:numPr>
          <w:ilvl w:val="0"/>
          <w:numId w:val="4"/>
        </w:numPr>
        <w:spacing w:after="80" w:line="360"/>
      </w:pPr>
      <w:r>
        <w:t xml:space="preserve">UNDP. Human Development Report 2023-24: </w:t>
      </w:r>
      <w:r>
        <w:rPr>
          <w:i/>
          <w:iCs/>
        </w:rPr>
        <w:t xml:space="preserve">Breaking the Gridlock — Reimagining Cooperation in a Polarized World</w:t>
      </w:r>
      <w:r>
        <w:t xml:space="preserve">. New York: United Nations Development Programme; 2024. Available from: https://hdr.undp.org/</w:t>
      </w:r>
    </w:p>
    <w:p>
      <w:pPr>
        <w:pStyle w:val="ListParagraph"/>
        <w:numPr>
          <w:ilvl w:val="0"/>
          <w:numId w:val="4"/>
        </w:numPr>
        <w:spacing w:after="80" w:line="360"/>
      </w:pPr>
      <w:r>
        <w:t xml:space="preserve">World Bank. World Development Indicators. Washington, DC: The World Bank Group. Available from: https://databank.worldbank.org/source/world-development-indicators</w:t>
      </w:r>
    </w:p>
    <w:p>
      <w:pPr>
        <w:pStyle w:val="ListParagraph"/>
        <w:numPr>
          <w:ilvl w:val="0"/>
          <w:numId w:val="4"/>
        </w:numPr>
        <w:spacing w:after="80" w:line="360"/>
      </w:pPr>
      <w:r>
        <w:t xml:space="preserve">DATASUS. Sistema de Informação sobre Mortalidade (SIM). Ministério da Saúde. Available from: https://datasus.saude.gov.br/</w:t>
      </w:r>
    </w:p>
    <w:p>
      <w:pPr>
        <w:pStyle w:val="ListParagraph"/>
        <w:numPr>
          <w:ilvl w:val="0"/>
          <w:numId w:val="4"/>
        </w:numPr>
        <w:spacing w:after="80" w:line="360"/>
      </w:pPr>
      <w:r>
        <w:t xml:space="preserve">Transparency International. Corruption Perceptions Index 2025. Berlin: Transparency International; 2025. Available from: https://www.transparency.org/cpi</w:t>
      </w:r>
    </w:p>
    <w:p>
      <w:pPr>
        <w:pStyle w:val="ListParagraph"/>
        <w:numPr>
          <w:ilvl w:val="0"/>
          <w:numId w:val="4"/>
        </w:numPr>
        <w:spacing w:after="80" w:line="360"/>
      </w:pPr>
      <w:r>
        <w:t xml:space="preserve">World Intellectual Property Organization. Global Innovation Index 2025. Geneva: WIPO; 2025. Available from: https://www.wipo.int/global_innovation_index/</w:t>
      </w:r>
    </w:p>
    <w:p>
      <w:pPr>
        <w:pStyle w:val="ListParagraph"/>
        <w:numPr>
          <w:ilvl w:val="0"/>
          <w:numId w:val="4"/>
        </w:numPr>
        <w:spacing w:after="80" w:line="360"/>
      </w:pPr>
      <w:r>
        <w:t xml:space="preserve">Trindade BO, Brandão GR, Motter SB. Geospatial Analysis of Accessibility to Surgical Care, a Brazilian Local Perspective. </w:t>
      </w:r>
      <w:r>
        <w:rPr>
          <w:i/>
          <w:iCs/>
        </w:rPr>
        <w:t xml:space="preserve">World J Surg</w:t>
      </w:r>
      <w:r>
        <w:t xml:space="preserve">. 2023;47:1-8. doi:10.1007/s00268-023-06892-y</w:t>
      </w:r>
    </w:p>
    <w:p>
      <w:pPr>
        <w:pStyle w:val="ListParagraph"/>
        <w:numPr>
          <w:ilvl w:val="0"/>
          <w:numId w:val="4"/>
        </w:numPr>
        <w:spacing w:after="80" w:line="360"/>
      </w:pPr>
      <w:r>
        <w:t xml:space="preserve">Berrone P, Ricart JE. IESE Cities in Motion Index 2024. Barcelona: IESE Business School; 2024. Available from: https://citiesinmotion.iese.edu/</w:t>
      </w:r>
    </w:p>
    <w:p>
      <w:pPr>
        <w:pStyle w:val="ListParagraph"/>
        <w:numPr>
          <w:ilvl w:val="0"/>
          <w:numId w:val="4"/>
        </w:numPr>
        <w:spacing w:after="80" w:line="360"/>
      </w:pPr>
      <w:r>
        <w:t xml:space="preserve">PCDaS/POLIS. Plataforma de Ciência de Dados aplicada à Saúde — POLIS. Fiocruz ICICT. Available from: https://pcdas.icict.fiocruz.br/conjunto-de-dados/polis-pcdas/</w:t>
      </w:r>
    </w:p>
    <w:p>
      <w:pPr>
        <w:pStyle w:val="ListParagraph"/>
        <w:numPr>
          <w:ilvl w:val="0"/>
          <w:numId w:val="4"/>
        </w:numPr>
        <w:spacing w:after="80" w:line="360"/>
      </w:pPr>
      <w:r>
        <w:t xml:space="preserve">Urban Systems. Ranking Connected Smart Cities. Available from: https://ranking.connectedsmartcities.com.br/</w:t>
      </w:r>
    </w:p>
    <w:p>
      <w:pPr>
        <w:pStyle w:val="ListParagraph"/>
        <w:numPr>
          <w:ilvl w:val="0"/>
          <w:numId w:val="4"/>
        </w:numPr>
        <w:spacing w:after="80" w:line="360"/>
      </w:pPr>
      <w:r>
        <w:t xml:space="preserve">Instituto Cidades Sustentáveis / UN SDSN. Índice de Desenvolvimento Sustentável das Cidades — Brasil (IDSC-BR). Available from: https://idsc.cidadessustentaveis.org.br/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Meara JG, Leather AJM, Hagander L, et al. Global Surgery 2030: evidence and solutions for achieving health, welfare, and economic development. Lancet. 2015;386(9993):569-624. </w:t>
      </w:r>
      <w:hyperlink w:history="1" r:id="rId78hmmgajca7nmgk6ibx_v">
        <w:r>
          <w:rPr>
            <w:rStyle w:val="Hyperlink"/>
          </w:rPr>
          <w:t xml:space="preserve">https://doi.org/10.1016/S0140-6736(15)60160-X</w:t>
        </w:r>
      </w:hyperlink>
    </w:p>
  </w:footnote>
  <w:footnote w:id="2">
    <w:p>
      <w:r>
        <w:rPr>
          <w:rStyle w:val="FootnoteReference"/>
        </w:rPr>
        <w:footnoteRef/>
      </w:r>
      <w:r>
        <w:t xml:space="preserve">Massenburg BB, Saluja S, Jenny HE, et al. Assessing the Brazilian surgical system with six indicators. World J Surg. 2017;41(11):2677-2685. </w:t>
      </w:r>
      <w:hyperlink w:history="1" r:id="rIdmscxiujjh8jyztwv3_pzo">
        <w:r>
          <w:rPr>
            <w:rStyle w:val="Hyperlink"/>
          </w:rPr>
          <w:t xml:space="preserve">https://doi.org/10.1007/s00268-017-4093-8</w:t>
        </w:r>
      </w:hyperlink>
    </w:p>
  </w:footnote>
  <w:footnote w:id="3">
    <w:p>
      <w:r>
        <w:rPr>
          <w:rStyle w:val="FootnoteReference"/>
        </w:rPr>
        <w:footnoteRef/>
      </w:r>
      <w:r>
        <w:t xml:space="preserve">IESE Business School. Cities in Motion Index (CIMI). </w:t>
      </w:r>
      <w:hyperlink w:history="1" r:id="rIdvedhyoln3edie8iwcqvis">
        <w:r>
          <w:rPr>
            <w:rStyle w:val="Hyperlink"/>
          </w:rPr>
          <w:t xml:space="preserve">https://citiesinmotion.iese.edu/</w:t>
        </w:r>
      </w:hyperlink>
    </w:p>
  </w:footnote>
  <w:footnote w:id="4">
    <w:p>
      <w:r>
        <w:rPr>
          <w:rStyle w:val="FootnoteReference"/>
        </w:rPr>
        <w:footnoteRef/>
      </w:r>
      <w:r>
        <w:t xml:space="preserve">Lundberg SM, Lee S-I. A unified approach to interpreting model predictions. Advances in Neural Information Processing Systems 30; 2017. </w:t>
      </w:r>
      <w:hyperlink w:history="1" r:id="rIdb_pqxike_mxvyqzzthc5z">
        <w:r>
          <w:rPr>
            <w:rStyle w:val="Hyperlink"/>
          </w:rPr>
          <w:t xml:space="preserve">https://papers.nips.cc/paper/7062-a-unified-approach-to-interpreting-model-predictions</w:t>
        </w:r>
      </w:hyperlink>
    </w:p>
  </w:footnote>
  <w:footnote w:id="5">
    <w:p>
      <w:r>
        <w:rPr>
          <w:rStyle w:val="FootnoteReference"/>
        </w:rPr>
        <w:footnoteRef/>
      </w:r>
      <w:r>
        <w:t xml:space="preserve">Klugman J, Rodríguez F, Choi H-J. The HDI 2010: new controversies, old critiques. J Econ Inequal. 2011;9:249-288. </w:t>
      </w:r>
      <w:hyperlink w:history="1" r:id="rIda30djqqq7fnhmzw0funjn">
        <w:r>
          <w:rPr>
            <w:rStyle w:val="Hyperlink"/>
          </w:rPr>
          <w:t xml:space="preserve">https://doi.org/10.1007/s10888-011-9178-z</w:t>
        </w:r>
      </w:hyperlink>
    </w:p>
  </w:footnote>
  <w:footnote w:id="6">
    <w:p>
      <w:r>
        <w:rPr>
          <w:rStyle w:val="FootnoteReference"/>
        </w:rPr>
        <w:footnoteRef/>
      </w:r>
      <w:r>
        <w:t xml:space="preserve">Saisana M, Saltelli A. Expert Panel Review on Composite Indicators. JRC Scientific and Technical Reports. EUR 21881 EN. 2005.</w:t>
      </w:r>
    </w:p>
  </w:footnote>
  <w:footnote w:id="7">
    <w:p>
      <w:r>
        <w:rPr>
          <w:rStyle w:val="FootnoteReference"/>
        </w:rPr>
        <w:footnoteRef/>
      </w:r>
      <w:r>
        <w:t xml:space="preserve">von Elm E, Altman DG, Egger M, et al. The Strengthening the Reporting of Observational Studies in Epidemiology (STROBE) Statement. Lancet. 2007;370(9596):1453-1457. </w:t>
      </w:r>
      <w:hyperlink w:history="1" r:id="rIdrbkvi98fx64tfyiwp8yw8">
        <w:r>
          <w:rPr>
            <w:rStyle w:val="Hyperlink"/>
          </w:rPr>
          <w:t xml:space="preserve">https://doi.org/10.1016/S0140-6736(07)61602-X</w:t>
        </w:r>
      </w:hyperlink>
    </w:p>
  </w:footnote>
  <w:footnote w:id="8">
    <w:p>
      <w:r>
        <w:rPr>
          <w:rStyle w:val="FootnoteReference"/>
        </w:rPr>
        <w:footnoteRef/>
      </w:r>
      <w:r>
        <w:t xml:space="preserve">Benchimol EI, Smeeth L, Guttmann A, et al. The REporting of studies Conducted using Observational Routinely-collected health Data (RECORD) statement. PLoS Med. 2015;12(10):e1001885. </w:t>
      </w:r>
      <w:hyperlink w:history="1" r:id="rId8a-ef9ur_cxbuq4s0ibqu">
        <w:r>
          <w:rPr>
            <w:rStyle w:val="Hyperlink"/>
          </w:rPr>
          <w:t xml:space="preserve">https://doi.org/10.1371/journal.pmed.1001885</w:t>
        </w:r>
      </w:hyperlink>
    </w:p>
  </w:footnote>
  <w:footnote w:id="9">
    <w:p>
      <w:r>
        <w:rPr>
          <w:rStyle w:val="FootnoteReference"/>
        </w:rPr>
        <w:footnoteRef/>
      </w:r>
      <w:r>
        <w:t xml:space="preserve">Brasil. Resolução No. 510, de 7 de abril de 2016. Conselho Nacional de Saúde. </w:t>
      </w:r>
      <w:hyperlink w:history="1" r:id="rIdjuh6jsr-k25bej-gjxzi8">
        <w:r>
          <w:rPr>
            <w:rStyle w:val="Hyperlink"/>
          </w:rPr>
          <w:t xml:space="preserve">https://conselho.saude.gov.br/resolucoes/2016/Reso510.pdf</w:t>
        </w:r>
      </w:hyperlink>
    </w:p>
  </w:footnote>
  <w:footnote w:id="10">
    <w:p>
      <w:r>
        <w:rPr>
          <w:rStyle w:val="FootnoteReference"/>
        </w:rPr>
        <w:footnoteRef/>
      </w:r>
      <w:r>
        <w:t xml:space="preserve">DATASUS. Sistema de Informações Hospitalares do SUS (SIH/SUS). </w:t>
      </w:r>
      <w:hyperlink w:history="1" r:id="rIdbevrwza-bs77cmgpnyf7n">
        <w:r>
          <w:rPr>
            <w:rStyle w:val="Hyperlink"/>
          </w:rPr>
          <w:t xml:space="preserve">https://datasus.saude.gov.br/</w:t>
        </w:r>
      </w:hyperlink>
    </w:p>
  </w:footnote>
  <w:footnote w:id="11">
    <w:p>
      <w:r>
        <w:rPr>
          <w:rStyle w:val="FootnoteReference"/>
        </w:rPr>
        <w:footnoteRef/>
      </w:r>
      <w:r>
        <w:t xml:space="preserve">DATASUS. Cadastro Nacional de Estabelecimentos de Saúde (CNES). </w:t>
      </w:r>
      <w:hyperlink w:history="1" r:id="rId3o_cw8zg_hd988t1dnroo">
        <w:r>
          <w:rPr>
            <w:rStyle w:val="Hyperlink"/>
          </w:rPr>
          <w:t xml:space="preserve">https://cnes.datasus.gov.br/</w:t>
        </w:r>
      </w:hyperlink>
    </w:p>
  </w:footnote>
  <w:footnote w:id="12">
    <w:p>
      <w:r>
        <w:rPr>
          <w:rStyle w:val="FootnoteReference"/>
        </w:rPr>
        <w:footnoteRef/>
      </w:r>
      <w:r>
        <w:t xml:space="preserve">IBGE. Sistema IBGE de Recuperação Automática (SIDRA). </w:t>
      </w:r>
      <w:hyperlink w:history="1" r:id="rId5gj6f_iv1wwdsis8p4dwz">
        <w:r>
          <w:rPr>
            <w:rStyle w:val="Hyperlink"/>
          </w:rPr>
          <w:t xml:space="preserve">https://sidra.ibge.gov.br/</w:t>
        </w:r>
      </w:hyperlink>
    </w:p>
  </w:footnote>
  <w:footnote w:id="13">
    <w:p>
      <w:r>
        <w:rPr>
          <w:rStyle w:val="FootnoteReference"/>
        </w:rPr>
        <w:footnoteRef/>
      </w:r>
      <w:r>
        <w:t xml:space="preserve">UNDP. Human Development Report 2023-24. </w:t>
      </w:r>
      <w:hyperlink w:history="1" r:id="rIdxdsm5pvcoyc35ozx4yrsi">
        <w:r>
          <w:rPr>
            <w:rStyle w:val="Hyperlink"/>
          </w:rPr>
          <w:t xml:space="preserve">https://hdr.undp.org/</w:t>
        </w:r>
      </w:hyperlink>
    </w:p>
  </w:footnote>
  <w:footnote w:id="14">
    <w:p>
      <w:r>
        <w:rPr>
          <w:rStyle w:val="FootnoteReference"/>
        </w:rPr>
        <w:footnoteRef/>
      </w:r>
      <w:r>
        <w:t xml:space="preserve">World Bank. World Development Indicators. </w:t>
      </w:r>
      <w:hyperlink w:history="1" r:id="rIdngevech_sdfall58x5hin">
        <w:r>
          <w:rPr>
            <w:rStyle w:val="Hyperlink"/>
          </w:rPr>
          <w:t xml:space="preserve">https://databank.worldbank.org/source/world-development-indicators</w:t>
        </w:r>
      </w:hyperlink>
    </w:p>
  </w:footnote>
  <w:footnote w:id="15">
    <w:p>
      <w:r>
        <w:rPr>
          <w:rStyle w:val="FootnoteReference"/>
        </w:rPr>
        <w:footnoteRef/>
      </w:r>
      <w:r>
        <w:t xml:space="preserve">DATASUS. Sistema de Informação sobre Mortalidade (SIM). </w:t>
      </w:r>
      <w:hyperlink w:history="1" r:id="rId1_1dvncjjiw7tfcexf59f">
        <w:r>
          <w:rPr>
            <w:rStyle w:val="Hyperlink"/>
          </w:rPr>
          <w:t xml:space="preserve">https://datasus.saude.gov.br/</w:t>
        </w:r>
      </w:hyperlink>
    </w:p>
  </w:footnote>
  <w:footnote w:id="16">
    <w:p>
      <w:r>
        <w:rPr>
          <w:rStyle w:val="FootnoteReference"/>
        </w:rPr>
        <w:footnoteRef/>
      </w:r>
      <w:r>
        <w:t xml:space="preserve">Trindade BO, Brandão GR, Motter SB. Geospatial Analysis of Accessibility to Surgical Care, a Brazilian Local Perspective. World J Surg. 2023;47:1-8. </w:t>
      </w:r>
      <w:hyperlink w:history="1" r:id="rIdTrindade2023">
        <w:r>
          <w:rPr>
            <w:rStyle w:val="Hyperlink"/>
          </w:rPr>
          <w:t xml:space="preserve">https://doi.org/10.1007/s00268-023-06892-y</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ICSKG-BR Study Protocol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1696F"/>
      <w:sz w:val="32"/>
      <w:szCs w:val="32"/>
    </w:rPr>
  </w:style>
  <w:style w:type="paragraph" w:styleId="Heading2">
    <w:name w:val="Heading 2"/>
    <w:basedOn w:val="Normal"/>
    <w:next w:val="Normal"/>
    <w:qFormat/>
    <w:pPr>
      <w:spacing w:after="110" w:before="280"/>
      <w:outlineLvl w:val="1"/>
    </w:pPr>
    <w:rPr>
      <w:rFonts w:ascii="Arial" w:cs="Arial" w:eastAsia="Arial" w:hAnsi="Arial"/>
      <w:b/>
      <w:bCs/>
      <w:color w:val="1B474D"/>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8251D"/>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Relationship Id="rId78hmmgajca7nmgk6ibx_v" Type="http://schemas.openxmlformats.org/officeDocument/2006/relationships/hyperlink" Target="https://doi.org/10.1016/S0140-6736(15)60160-X" TargetMode="External"/><Relationship Id="rIdmscxiujjh8jyztwv3_pzo" Type="http://schemas.openxmlformats.org/officeDocument/2006/relationships/hyperlink" Target="https://doi.org/10.1007/s00268-017-4093-8" TargetMode="External"/><Relationship Id="rIdvedhyoln3edie8iwcqvis" Type="http://schemas.openxmlformats.org/officeDocument/2006/relationships/hyperlink" Target="https://citiesinmotion.iese.edu/" TargetMode="External"/><Relationship Id="rIdb_pqxike_mxvyqzzthc5z" Type="http://schemas.openxmlformats.org/officeDocument/2006/relationships/hyperlink" Target="https://papers.nips.cc/paper/7062-a-unified-approach-to-interpreting-model-predictions" TargetMode="External"/><Relationship Id="rIda30djqqq7fnhmzw0funjn" Type="http://schemas.openxmlformats.org/officeDocument/2006/relationships/hyperlink" Target="https://doi.org/10.1007/s10888-011-9178-z" TargetMode="External"/><Relationship Id="rIdrbkvi98fx64tfyiwp8yw8" Type="http://schemas.openxmlformats.org/officeDocument/2006/relationships/hyperlink" Target="https://doi.org/10.1016/S0140-6736(07)61602-X" TargetMode="External"/><Relationship Id="rId8a-ef9ur_cxbuq4s0ibqu" Type="http://schemas.openxmlformats.org/officeDocument/2006/relationships/hyperlink" Target="https://doi.org/10.1371/journal.pmed.1001885" TargetMode="External"/><Relationship Id="rIdjuh6jsr-k25bej-gjxzi8" Type="http://schemas.openxmlformats.org/officeDocument/2006/relationships/hyperlink" Target="https://conselho.saude.gov.br/resolucoes/2016/Reso510.pdf" TargetMode="External"/><Relationship Id="rIdbevrwza-bs77cmgpnyf7n" Type="http://schemas.openxmlformats.org/officeDocument/2006/relationships/hyperlink" Target="https://datasus.saude.gov.br/" TargetMode="External"/><Relationship Id="rId3o_cw8zg_hd988t1dnroo" Type="http://schemas.openxmlformats.org/officeDocument/2006/relationships/hyperlink" Target="https://cnes.datasus.gov.br/" TargetMode="External"/><Relationship Id="rId5gj6f_iv1wwdsis8p4dwz" Type="http://schemas.openxmlformats.org/officeDocument/2006/relationships/hyperlink" Target="https://sidra.ibge.gov.br/" TargetMode="External"/><Relationship Id="rIdxdsm5pvcoyc35ozx4yrsi" Type="http://schemas.openxmlformats.org/officeDocument/2006/relationships/hyperlink" Target="https://hdr.undp.org/" TargetMode="External"/><Relationship Id="rIdngevech_sdfall58x5hin" Type="http://schemas.openxmlformats.org/officeDocument/2006/relationships/hyperlink" Target="https://databank.worldbank.org/source/world-development-indicators" TargetMode="External"/><Relationship Id="rId1_1dvncjjiw7tfcexf59f" Type="http://schemas.openxmlformats.org/officeDocument/2006/relationships/hyperlink" Target="https://datasus.saude.gov.br/" TargetMode="External"/><Relationship Id="rIdTrindade2023" Type="http://schemas.openxmlformats.org/officeDocument/2006/relationships/hyperlink" Target="https://doi.org/10.1007/s00268-023-06892-y" TargetMode="External"/></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2026-03-27T23:11:26.107Z</dcterms:created>
  <dcterms:modified xsi:type="dcterms:W3CDTF">2026-03-27T23:11:26.122Z</dcterms:modified>
</cp:coreProperties>
</file>

<file path=docProps/custom.xml><?xml version="1.0" encoding="utf-8"?>
<Properties xmlns="http://schemas.openxmlformats.org/officeDocument/2006/custom-properties" xmlns:vt="http://schemas.openxmlformats.org/officeDocument/2006/docPropsVTypes"/>
</file>