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480" w:before="600"/>
        <w:jc w:val="center"/>
      </w:pPr>
      <w:r>
        <w:rPr>
          <w:rFonts w:ascii="Arial" w:cs="Arial" w:eastAsia="Arial" w:hAnsi="Arial"/>
          <w:b/>
          <w:bCs/>
          <w:sz w:val="32"/>
          <w:szCs w:val="32"/>
        </w:rPr>
        <w:t xml:space="preserve">Geographic Variation in Spinal Arthrodesis Rates in Brazil's Universal Healthcare System:</w:t>
      </w:r>
      <w:r>
        <w:rPr>
          <w:rFonts w:ascii="Arial" w:cs="Arial" w:eastAsia="Arial" w:hAnsi="Arial"/>
          <w:b w:val="false"/>
          <w:bCs w:val="false"/>
          <w:sz w:val="32"/>
          <w:szCs w:val="32"/>
        </w:rPr>
        <w:t xml:space="preserve"> A Weinstein-Style Analysis of 58,818 Procedures (2015–2020)</w:t>
      </w:r>
    </w:p>
    <w:p>
      <w:pPr>
        <w:spacing w:after="80" w:line="480"/>
        <w:jc w:val="center"/>
      </w:pPr>
      <w:r>
        <w:rPr>
          <w:rFonts w:ascii="Times New Roman" w:cs="Times New Roman" w:eastAsia="Times New Roman" w:hAnsi="Times New Roman"/>
          <w:i/>
          <w:iCs/>
          <w:sz w:val="24"/>
          <w:szCs w:val="24"/>
        </w:rPr>
        <w:t xml:space="preserve">[Author names to be inserted]</w:t>
      </w:r>
    </w:p>
    <w:p>
      <w:pPr>
        <w:spacing w:after="200" w:line="480"/>
        <w:jc w:val="center"/>
      </w:pPr>
      <w:r>
        <w:rPr>
          <w:rFonts w:ascii="Times New Roman" w:cs="Times New Roman" w:eastAsia="Times New Roman" w:hAnsi="Times New Roman"/>
          <w:i/>
          <w:iCs/>
          <w:sz w:val="20"/>
          <w:szCs w:val="20"/>
        </w:rPr>
        <w:t xml:space="preserve">[Institutional affiliations to be inserted]</w:t>
      </w:r>
    </w:p>
    <w:p>
      <w:pPr>
        <w:spacing w:after="400" w:line="480"/>
        <w:jc w:val="center"/>
      </w:pPr>
      <w:r>
        <w:rPr>
          <w:rFonts w:ascii="Times New Roman" w:cs="Times New Roman" w:eastAsia="Times New Roman" w:hAnsi="Times New Roman"/>
          <w:i/>
          <w:iCs/>
          <w:sz w:val="20"/>
          <w:szCs w:val="20"/>
        </w:rPr>
        <w:t xml:space="preserve">Corresponding author: [Name, email, address]</w:t>
      </w:r>
    </w:p>
    <w:p>
      <w:pPr>
        <w:spacing w:after="120" w:line="480" w:before="200"/>
        <w:jc w:val="left"/>
      </w:pPr>
      <w:r>
        <w:rPr>
          <w:rFonts w:ascii="Arial" w:cs="Arial" w:eastAsia="Arial" w:hAnsi="Arial"/>
          <w:b/>
          <w:bCs/>
          <w:sz w:val="24"/>
          <w:szCs w:val="24"/>
        </w:rPr>
        <w:t xml:space="preserve">STRUCTURED ABSTRACT</w:t>
      </w:r>
    </w:p>
    <w:p>
      <w:pPr>
        <w:spacing w:after="80" w:line="480"/>
        <w:jc w:val="both"/>
      </w:pPr>
      <w:r>
        <w:rPr>
          <w:rFonts w:ascii="Times New Roman" w:cs="Times New Roman" w:eastAsia="Times New Roman" w:hAnsi="Times New Roman"/>
          <w:b/>
          <w:bCs/>
          <w:sz w:val="24"/>
          <w:szCs w:val="24"/>
        </w:rPr>
        <w:t xml:space="preserve">Study Design: </w:t>
      </w:r>
      <w:r>
        <w:rPr>
          <w:rFonts w:ascii="Times New Roman" w:cs="Times New Roman" w:eastAsia="Times New Roman" w:hAnsi="Times New Roman"/>
          <w:sz w:val="24"/>
          <w:szCs w:val="24"/>
        </w:rPr>
        <w:t xml:space="preserve">Retrospective cross-sectional analysis of administrative hospitalization records.</w:t>
      </w:r>
    </w:p>
    <w:p>
      <w:pPr>
        <w:spacing w:after="80" w:line="480"/>
        <w:jc w:val="both"/>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characterize geographic variation in spinal arthrodesis (fusion) procedure rates across Brazilian states using Weinstein-style variation metrics, and to analyze diagnosis-specific patterns, patient flow networks, and spatial clustering.</w:t>
      </w:r>
    </w:p>
    <w:p>
      <w:pPr>
        <w:spacing w:after="80" w:line="480"/>
        <w:jc w:val="both"/>
      </w:pPr>
      <w:r>
        <w:rPr>
          <w:rFonts w:ascii="Times New Roman" w:cs="Times New Roman" w:eastAsia="Times New Roman" w:hAnsi="Times New Roman"/>
          <w:b/>
          <w:bCs/>
          <w:sz w:val="24"/>
          <w:szCs w:val="24"/>
        </w:rPr>
        <w:t xml:space="preserve">Summary of Background Data: </w:t>
      </w:r>
      <w:r>
        <w:rPr>
          <w:rFonts w:ascii="Times New Roman" w:cs="Times New Roman" w:eastAsia="Times New Roman" w:hAnsi="Times New Roman"/>
          <w:sz w:val="24"/>
          <w:szCs w:val="24"/>
        </w:rPr>
        <w:t xml:space="preserve">Geographic variation in spine surgery rates is well-documented in the United States through the Dartmouth Atlas, but equivalent analyses in universal healthcare systems are scarce. Brazil’s Sistema Único de Saúde (SUS) provides a unique opportunity to study variation in a single-payer system serving 210 million people.</w:t>
      </w:r>
    </w:p>
    <w:p>
      <w:pPr>
        <w:spacing w:after="80" w:line="480"/>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We analyzed 58,818 spinal arthrodesis procedures performed in SUS hospitals during 2015–2020, obtained from the Hospital Information System (SIH/SUS). Population-adjusted rates were computed per 100,000 inhabitants using IBGE estimates. Weinstein-style variation metrics (coefficient of variation [CV], extremal ratio, interquartile range [IQR] ratio, standardized discharge ratios [SDR]) were calculated at state (N=27) and municipality (N=951) levels. Spatial autocorrelation was assessed using Moran’s I and LISA cluster analysis. Inter-state patient flow networks were mapped.</w:t>
      </w:r>
    </w:p>
    <w:p>
      <w:pPr>
        <w:spacing w:after="80" w:line="48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national arthrodesis rate was 4.66 per 100,000/year. Geographic variation was substantially greater than reported for US lumbar fusion: CV=86.9% (vs. 49.5%), extremal ratio=49.7 (vs. 21.0), IQR ratio=2.68 (vs. 2.01). Rates ranged from 0.29 (Rio Grande do Norte) to 14.63 (Paraná) per 100,000/year. Lumbar degenerative procedures (44% of volume) showed the highest variation (CV=125.2%), while trauma (27%) showed the lowest (CV=62.4%). Specialist density strongly correlated with procedure rates (Spearman ρ=0.74, p&lt;0.001). Significant spatial clustering was confirmed (Moran’s I=0.42, p=0.004), with high-high clusters in the South/Southeast and low-low clusters in the North/Northeast. Only 2.1% of patients crossed state borders, with Brasília (DF) as the dominant import hub (28.8% of caseload imported).</w:t>
      </w:r>
    </w:p>
    <w:p>
      <w:pPr>
        <w:spacing w:after="80" w:line="480"/>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Brazil’s SUS shows nearly double the geographic variation in spinal arthrodesis rates compared to the US Medicare system. Variation is greatest for preference-sensitive procedures and strongly correlated with specialist supply, consistent with the supply-sensitive care hypothesis. The marked North–South disparity highlights critical access inequities requiring targeted capacity-building in underserved regions.</w:t>
      </w:r>
    </w:p>
    <w:p>
      <w:r>
        <w:br w:type="page"/>
      </w:r>
    </w:p>
    <w:p>
      <w:pPr>
        <w:spacing w:after="80" w:line="480" w:before="200"/>
        <w:jc w:val="both"/>
      </w:pPr>
      <w:r>
        <w:rPr>
          <w:rFonts w:ascii="Arial" w:cs="Arial" w:eastAsia="Arial" w:hAnsi="Arial"/>
          <w:b/>
          <w:bCs/>
          <w:sz w:val="24"/>
          <w:szCs w:val="24"/>
        </w:rPr>
        <w:t xml:space="preserve">KEY POINTS</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Geographic variation in spinal arthrodesis rates across Brazilian states (CV=86.9%) is nearly double that reported for US lumbar fusion (CV=49.5%).</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Lumbar degenerative procedures show the highest variation (CV=125.2%), while trauma procedures show the lowest (CV=62.4%), consistent with the Wennberg supply-sensitive care framework.</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Specialist density is the strongest predictor of procedure rates (ρ=0.74, p&lt;0.001), confirming that surgeon supply drives surgical volume.</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Significant spatial clustering (Moran’s I=0.42, p=0.004) reveals a contiguous access-deficit zone stretching from the Amazon to the Northeast coast.</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Inter-state patient flow is minimal (2.1%), suggesting geographic barriers rather than referral networks drive access inequity.</w:t>
      </w:r>
    </w:p>
    <w:p>
      <w:pPr>
        <w:pStyle w:val="Heading1"/>
        <w:pageBreakBefore/>
        <w:spacing w:after="120" w:line="480" w:before="240"/>
        <w:jc w:val="left"/>
      </w:pPr>
      <w:r>
        <w:rPr>
          <w:rFonts w:ascii="Arial" w:cs="Arial" w:eastAsia="Arial" w:hAnsi="Arial"/>
          <w:b/>
          <w:bCs/>
          <w:sz w:val="28"/>
          <w:szCs w:val="28"/>
        </w:rPr>
        <w:t xml:space="preserve">INTRODUCTION</w:t>
      </w:r>
    </w:p>
    <w:p>
      <w:pPr>
        <w:spacing w:after="120" w:line="480"/>
        <w:jc w:val="both"/>
      </w:pPr>
      <w:r>
        <w:rPr>
          <w:rFonts w:ascii="Times New Roman" w:cs="Times New Roman" w:eastAsia="Times New Roman" w:hAnsi="Times New Roman"/>
          <w:sz w:val="24"/>
          <w:szCs w:val="24"/>
        </w:rPr>
        <w:t xml:space="preserve">Geographic variation in surgical procedure rates has been a central concern of health services research since Wennberg and Gittelsohn’s landmark studies in the 1970s.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The Dartmouth Atlas project demonstrated that rates of preference-sensitive procedures—including spinal fusion—vary dramatically across US hospital referral regions, driven more by physician supply and practice style than by disease prevalence.</w:t>
      </w:r>
      <w:r>
        <w:rPr>
          <w:rFonts w:ascii="Times New Roman" w:cs="Times New Roman" w:eastAsia="Times New Roman" w:hAnsi="Times New Roman"/>
          <w:sz w:val="24"/>
          <w:szCs w:val="24"/>
          <w:vertAlign w:val="superscript"/>
        </w:rPr>
        <w:t xml:space="preserve">2,3</w:t>
      </w:r>
    </w:p>
    <w:p>
      <w:pPr>
        <w:spacing w:after="120" w:line="480"/>
        <w:jc w:val="both"/>
      </w:pPr>
      <w:r>
        <w:rPr>
          <w:rFonts w:ascii="Times New Roman" w:cs="Times New Roman" w:eastAsia="Times New Roman" w:hAnsi="Times New Roman"/>
          <w:sz w:val="24"/>
          <w:szCs w:val="24"/>
        </w:rPr>
        <w:t xml:space="preserve">Weinstein and colleagues</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quantified this variation specifically for lumbar fusion in the US Medicare population (1992–2003), reporting a coefficient of variation (CV) of 49.5%, an extremal ratio of 21.0, and an interquartile range (IQR) ratio of 2.01 across 306 hospital referral regions. These metrics have become standard benchmarks for evaluating geographic variation in surgical utilization.</w:t>
      </w:r>
    </w:p>
    <w:p>
      <w:pPr>
        <w:spacing w:after="120" w:line="480"/>
        <w:jc w:val="both"/>
      </w:pPr>
      <w:r>
        <w:rPr>
          <w:rFonts w:ascii="Times New Roman" w:cs="Times New Roman" w:eastAsia="Times New Roman" w:hAnsi="Times New Roman"/>
          <w:sz w:val="24"/>
          <w:szCs w:val="24"/>
        </w:rPr>
        <w:t xml:space="preserve">While geographic variation in spine surgery is well-characterized in the United States and Europe, equivalent analyses in low- and middle-income countries (LMICs) with universal healthcare systems remain scarce. Brazil’s Sistema Único de Saúde (SUS) is the world’s largest public healthcare system, providing coverage to approximately 75% of Brazil’s 210 million inhabitants. The system maintains comprehensive hospitalization records through the Hospital Information System (SIH/SUS), enabling population-level analyses of surgical utilization.</w:t>
      </w:r>
    </w:p>
    <w:p>
      <w:pPr>
        <w:spacing w:after="120" w:line="480"/>
        <w:jc w:val="both"/>
      </w:pPr>
      <w:r>
        <w:rPr>
          <w:rFonts w:ascii="Times New Roman" w:cs="Times New Roman" w:eastAsia="Times New Roman" w:hAnsi="Times New Roman"/>
          <w:sz w:val="24"/>
          <w:szCs w:val="24"/>
        </w:rPr>
        <w:t xml:space="preserve">Brazil presents a particularly informative case for studying geographic variation due to its continental dimensions, stark regional socioeconomic disparities, and highly uneven distribution of medical specialists. Previous studies have documented regional inequalities in SUS access for other surgical procedures,</w:t>
      </w:r>
      <w:r>
        <w:rPr>
          <w:rFonts w:ascii="Times New Roman" w:cs="Times New Roman" w:eastAsia="Times New Roman" w:hAnsi="Times New Roman"/>
          <w:sz w:val="24"/>
          <w:szCs w:val="24"/>
          <w:vertAlign w:val="superscript"/>
        </w:rPr>
        <w:t xml:space="preserve">5,6</w:t>
      </w:r>
      <w:r>
        <w:rPr>
          <w:rFonts w:ascii="Times New Roman" w:cs="Times New Roman" w:eastAsia="Times New Roman" w:hAnsi="Times New Roman"/>
          <w:sz w:val="24"/>
          <w:szCs w:val="24"/>
        </w:rPr>
        <w:t xml:space="preserve"> but a systematic Weinstein-style analysis of spinal arthrodesis variation has not been conducted.</w:t>
      </w:r>
    </w:p>
    <w:p>
      <w:pPr>
        <w:spacing w:after="120" w:line="480"/>
        <w:jc w:val="both"/>
      </w:pPr>
      <w:r>
        <w:rPr>
          <w:rFonts w:ascii="Times New Roman" w:cs="Times New Roman" w:eastAsia="Times New Roman" w:hAnsi="Times New Roman"/>
          <w:sz w:val="24"/>
          <w:szCs w:val="24"/>
        </w:rPr>
        <w:t xml:space="preserve">The objectives of this study were: (1) to characterize geographic variation in spinal arthrodesis rates across Brazilian states using Weinstein-style metrics; (2) to analyze variation by diagnosis category (lumbar degenerative, cervical degenerative, trauma, deformity); (3) to assess spatial autocorrelation and identify geographic clusters of high and low utilization; (4) to quantify inter-state patient flow patterns; and (5) to compare Brazilian variation magnitudes with published US benchmarks.</w:t>
      </w:r>
    </w:p>
    <w:p>
      <w:pPr>
        <w:pStyle w:val="Heading1"/>
        <w:pageBreakBefore/>
        <w:spacing w:after="120" w:line="480" w:before="240"/>
        <w:jc w:val="left"/>
      </w:pPr>
      <w:r>
        <w:rPr>
          <w:rFonts w:ascii="Arial" w:cs="Arial" w:eastAsia="Arial" w:hAnsi="Arial"/>
          <w:b/>
          <w:bCs/>
          <w:sz w:val="28"/>
          <w:szCs w:val="28"/>
        </w:rPr>
        <w:t xml:space="preserve">MATERIALS AND METHODS</w:t>
      </w:r>
    </w:p>
    <w:p>
      <w:pPr>
        <w:spacing w:after="80" w:line="480" w:before="200"/>
        <w:jc w:val="left"/>
      </w:pPr>
      <w:r>
        <w:rPr>
          <w:rFonts w:ascii="Times New Roman" w:cs="Times New Roman" w:eastAsia="Times New Roman" w:hAnsi="Times New Roman"/>
          <w:b/>
          <w:bCs/>
          <w:i/>
          <w:iCs/>
          <w:sz w:val="24"/>
          <w:szCs w:val="24"/>
        </w:rPr>
        <w:t xml:space="preserve">Data Source and Study Population</w:t>
      </w:r>
    </w:p>
    <w:p>
      <w:pPr>
        <w:spacing w:after="120" w:line="480"/>
        <w:jc w:val="both"/>
      </w:pPr>
      <w:r>
        <w:rPr>
          <w:rFonts w:ascii="Times New Roman" w:cs="Times New Roman" w:eastAsia="Times New Roman" w:hAnsi="Times New Roman"/>
          <w:sz w:val="24"/>
          <w:szCs w:val="24"/>
        </w:rPr>
        <w:t xml:space="preserve">We conducted a retrospective cross-sectional analysis of all spinal arthrodesis (fusion) procedures performed in SUS hospitals between January 1, 2015, and December 31, 2020. Data were obtained from the Hospital Information System (SIH/SUS) maintained by the Brazilian Ministry of Health’s Department of Informatics (DATASUS). The SIH/SUS captures individual-level hospitalization records including patient demographics, diagnoses (ICD-10), procedures performed, hospital location, length of stay, costs, and outcomes for all public hospital admissions.</w:t>
      </w:r>
    </w:p>
    <w:p>
      <w:pPr>
        <w:spacing w:after="120" w:line="480"/>
        <w:jc w:val="both"/>
      </w:pPr>
      <w:r>
        <w:rPr>
          <w:rFonts w:ascii="Times New Roman" w:cs="Times New Roman" w:eastAsia="Times New Roman" w:hAnsi="Times New Roman"/>
          <w:sz w:val="24"/>
          <w:szCs w:val="24"/>
        </w:rPr>
        <w:t xml:space="preserve">The study population comprised 58,818 spinal arthrodesis procedures identified by SUS procedure codes for spinal fusion across all 27 Brazilian states (26 states plus the Federal District). No exclusion criteria were applied beyond the temporal and procedural filters.</w:t>
      </w:r>
    </w:p>
    <w:p>
      <w:pPr>
        <w:spacing w:after="80" w:line="480" w:before="200"/>
        <w:jc w:val="left"/>
      </w:pPr>
      <w:r>
        <w:rPr>
          <w:rFonts w:ascii="Times New Roman" w:cs="Times New Roman" w:eastAsia="Times New Roman" w:hAnsi="Times New Roman"/>
          <w:b/>
          <w:bCs/>
          <w:i/>
          <w:iCs/>
          <w:sz w:val="24"/>
          <w:szCs w:val="24"/>
        </w:rPr>
        <w:t xml:space="preserve">Variables</w:t>
      </w:r>
    </w:p>
    <w:p>
      <w:pPr>
        <w:spacing w:after="120" w:line="480"/>
        <w:jc w:val="both"/>
      </w:pPr>
      <w:r>
        <w:rPr>
          <w:rFonts w:ascii="Times New Roman" w:cs="Times New Roman" w:eastAsia="Times New Roman" w:hAnsi="Times New Roman"/>
          <w:sz w:val="24"/>
          <w:szCs w:val="24"/>
        </w:rPr>
        <w:t xml:space="preserve">The primary outcome was the annual arthrodesis procedure rate per 100,000 inhabitants, calculated for each state using mid-period population estimates from the Brazilian Institute of Geography and Statistics (IBGE). Secondary outcomes included in-hospital mortality, length of stay (LOS), inflation-adjusted procedure costs (using the IPCA consumer price index with 2020 as base year), and ICU utilization.</w:t>
      </w:r>
    </w:p>
    <w:p>
      <w:pPr>
        <w:spacing w:after="120" w:line="480"/>
        <w:jc w:val="both"/>
      </w:pPr>
      <w:r>
        <w:rPr>
          <w:rFonts w:ascii="Times New Roman" w:cs="Times New Roman" w:eastAsia="Times New Roman" w:hAnsi="Times New Roman"/>
          <w:sz w:val="24"/>
          <w:szCs w:val="24"/>
        </w:rPr>
        <w:t xml:space="preserve">Procedures were classified into five diagnosis categories based on ICD-10 primary diagnosis codes: lumbar degenerative (M51.x, M47.x, M48.0x; 44.0%), cervical degenerative (M50.x, M47.2x; 7.9%), trauma (S12–S34.x, T91.x; 27.4%), deformity (M40–M41.x, M43.1; 3.0%), and other (remaining codes; 17.7%).</w:t>
      </w:r>
    </w:p>
    <w:p>
      <w:pPr>
        <w:spacing w:after="80" w:line="480" w:before="200"/>
        <w:jc w:val="left"/>
      </w:pPr>
      <w:r>
        <w:rPr>
          <w:rFonts w:ascii="Times New Roman" w:cs="Times New Roman" w:eastAsia="Times New Roman" w:hAnsi="Times New Roman"/>
          <w:b/>
          <w:bCs/>
          <w:i/>
          <w:iCs/>
          <w:sz w:val="24"/>
          <w:szCs w:val="24"/>
        </w:rPr>
        <w:t xml:space="preserve">Geographic Variation Metrics</w:t>
      </w:r>
    </w:p>
    <w:p>
      <w:pPr>
        <w:spacing w:after="120" w:line="480"/>
        <w:jc w:val="both"/>
      </w:pPr>
      <w:r>
        <w:rPr>
          <w:rFonts w:ascii="Times New Roman" w:cs="Times New Roman" w:eastAsia="Times New Roman" w:hAnsi="Times New Roman"/>
          <w:sz w:val="24"/>
          <w:szCs w:val="24"/>
        </w:rPr>
        <w:t xml:space="preserve">Following the methodology of Weinstein et al.,</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we calculated four standard geographic variation metrics at the state level (N=27):</w:t>
      </w:r>
    </w:p>
    <w:p>
      <w:pPr>
        <w:spacing w:after="120" w:line="480"/>
        <w:ind w:left="720"/>
        <w:jc w:val="both"/>
      </w:pPr>
      <w:r>
        <w:rPr>
          <w:rFonts w:ascii="Times New Roman" w:cs="Times New Roman" w:eastAsia="Times New Roman" w:hAnsi="Times New Roman"/>
          <w:sz w:val="24"/>
          <w:szCs w:val="24"/>
        </w:rPr>
        <w:t xml:space="preserve">Coefficient of Variation (CV)</w:t>
      </w:r>
      <w:r>
        <w:rPr>
          <w:rFonts w:ascii="Times New Roman" w:cs="Times New Roman" w:eastAsia="Times New Roman" w:hAnsi="Times New Roman"/>
          <w:i w:val="false"/>
          <w:iCs w:val="false"/>
          <w:sz w:val="24"/>
          <w:szCs w:val="24"/>
        </w:rPr>
        <w:t xml:space="preserve">: the standard deviation of state rates divided by the mean, expressed as a percentage. Higher CV indicates greater relative variation.</w:t>
      </w:r>
    </w:p>
    <w:p>
      <w:pPr>
        <w:spacing w:after="120" w:line="480"/>
        <w:ind w:left="720"/>
        <w:jc w:val="both"/>
      </w:pPr>
      <w:r>
        <w:rPr>
          <w:rFonts w:ascii="Times New Roman" w:cs="Times New Roman" w:eastAsia="Times New Roman" w:hAnsi="Times New Roman"/>
          <w:sz w:val="24"/>
          <w:szCs w:val="24"/>
        </w:rPr>
        <w:t xml:space="preserve">Extremal Ratio</w:t>
      </w:r>
      <w:r>
        <w:rPr>
          <w:rFonts w:ascii="Times New Roman" w:cs="Times New Roman" w:eastAsia="Times New Roman" w:hAnsi="Times New Roman"/>
          <w:sz w:val="24"/>
          <w:szCs w:val="24"/>
        </w:rPr>
        <w:t xml:space="preserve">: the ratio of the highest state rate to the lowest state rate.</w:t>
      </w:r>
    </w:p>
    <w:p>
      <w:pPr>
        <w:spacing w:after="120" w:line="480"/>
        <w:ind w:left="720"/>
        <w:jc w:val="both"/>
      </w:pPr>
      <w:r>
        <w:rPr>
          <w:rFonts w:ascii="Times New Roman" w:cs="Times New Roman" w:eastAsia="Times New Roman" w:hAnsi="Times New Roman"/>
          <w:sz w:val="24"/>
          <w:szCs w:val="24"/>
        </w:rPr>
        <w:t xml:space="preserve">IQR Ratio</w:t>
      </w:r>
      <w:r>
        <w:rPr>
          <w:rFonts w:ascii="Times New Roman" w:cs="Times New Roman" w:eastAsia="Times New Roman" w:hAnsi="Times New Roman"/>
          <w:sz w:val="24"/>
          <w:szCs w:val="24"/>
        </w:rPr>
        <w:t xml:space="preserve">: the ratio of the 75th percentile rate to the 25th percentile rate, a robust measure resistant to outliers.</w:t>
      </w:r>
    </w:p>
    <w:p>
      <w:pPr>
        <w:spacing w:after="120" w:line="480"/>
        <w:ind w:left="720"/>
        <w:jc w:val="both"/>
      </w:pPr>
      <w:r>
        <w:rPr>
          <w:rFonts w:ascii="Times New Roman" w:cs="Times New Roman" w:eastAsia="Times New Roman" w:hAnsi="Times New Roman"/>
          <w:sz w:val="24"/>
          <w:szCs w:val="24"/>
        </w:rPr>
        <w:t xml:space="preserve">Standardized Discharge Ratio (SDR)</w:t>
      </w:r>
      <w:r>
        <w:rPr>
          <w:rFonts w:ascii="Times New Roman" w:cs="Times New Roman" w:eastAsia="Times New Roman" w:hAnsi="Times New Roman"/>
          <w:sz w:val="24"/>
          <w:szCs w:val="24"/>
        </w:rPr>
        <w:t xml:space="preserve">: each state’s annual rate divided by the national annual rate, where SDR=1.0 indicates the state matches the national average.</w:t>
      </w:r>
    </w:p>
    <w:p>
      <w:pPr>
        <w:spacing w:after="120" w:line="480"/>
        <w:jc w:val="both"/>
      </w:pPr>
      <w:r>
        <w:rPr>
          <w:rFonts w:ascii="Times New Roman" w:cs="Times New Roman" w:eastAsia="Times New Roman" w:hAnsi="Times New Roman"/>
          <w:sz w:val="24"/>
          <w:szCs w:val="24"/>
        </w:rPr>
        <w:t xml:space="preserve">These metrics were computed for all arthrodesis procedures combined and separately for each diagnosis category. Municipality-level analysis (N=951 municipalities with ≥10 procedures) was also performed to assess small-area variation.</w:t>
      </w:r>
    </w:p>
    <w:p>
      <w:pPr>
        <w:spacing w:after="80" w:line="480" w:before="200"/>
        <w:jc w:val="left"/>
      </w:pPr>
      <w:r>
        <w:rPr>
          <w:rFonts w:ascii="Times New Roman" w:cs="Times New Roman" w:eastAsia="Times New Roman" w:hAnsi="Times New Roman"/>
          <w:b/>
          <w:bCs/>
          <w:i/>
          <w:iCs/>
          <w:sz w:val="24"/>
          <w:szCs w:val="24"/>
        </w:rPr>
        <w:t xml:space="preserve">Spatial Statistical Analysis</w:t>
      </w:r>
    </w:p>
    <w:p>
      <w:pPr>
        <w:spacing w:after="120" w:line="480"/>
        <w:jc w:val="both"/>
      </w:pPr>
      <w:r>
        <w:rPr>
          <w:rFonts w:ascii="Times New Roman" w:cs="Times New Roman" w:eastAsia="Times New Roman" w:hAnsi="Times New Roman"/>
          <w:sz w:val="24"/>
          <w:szCs w:val="24"/>
        </w:rPr>
        <w:t xml:space="preserve">Global spatial autocorrelation of SDR was assessed using Moran’s I statistic with Queen contiguity spatial weights and 9,999 permutations. Local Indicators of Spatial Association (LISA) were computed to identify statistically significant spatial clusters (high-high, low-low) and outliers (high-low, low-high) at p&lt;0.05. Geographic boundary data were obtained from the IBGE via the geobr library.</w:t>
      </w:r>
    </w:p>
    <w:p>
      <w:pPr>
        <w:spacing w:after="80" w:line="480" w:before="200"/>
        <w:jc w:val="left"/>
      </w:pPr>
      <w:r>
        <w:rPr>
          <w:rFonts w:ascii="Times New Roman" w:cs="Times New Roman" w:eastAsia="Times New Roman" w:hAnsi="Times New Roman"/>
          <w:b/>
          <w:bCs/>
          <w:i/>
          <w:iCs/>
          <w:sz w:val="24"/>
          <w:szCs w:val="24"/>
        </w:rPr>
        <w:t xml:space="preserve">Additional Statistical Analyses</w:t>
      </w:r>
    </w:p>
    <w:p>
      <w:pPr>
        <w:spacing w:after="120" w:line="480"/>
        <w:jc w:val="both"/>
      </w:pPr>
      <w:r>
        <w:rPr>
          <w:rFonts w:ascii="Times New Roman" w:cs="Times New Roman" w:eastAsia="Times New Roman" w:hAnsi="Times New Roman"/>
          <w:sz w:val="24"/>
          <w:szCs w:val="24"/>
        </w:rPr>
        <w:t xml:space="preserve">Regional comparisons (N=5 macro-regions: North, Northeast, Southeast, South, Center-West) were performed using Kruskal-Wallis tests with Dunn’s post-hoc comparisons. Temporal trends (2015–2020) were assessed using Mann-Kendall tests with Sen’s slope estimation. Spearman rank correlations were computed between state-level procedure rates, specialist density (neurosurgeons plus orthopedists per 100,000), mortality, mean age, cost, and LOS. The association between diagnosis distribution and region was tested using Chi-square with Cramér’s V. A two-tailed p&lt;0.05 was considered statistically significant.</w:t>
      </w:r>
    </w:p>
    <w:p>
      <w:pPr>
        <w:spacing w:after="80" w:line="480" w:before="200"/>
        <w:jc w:val="left"/>
      </w:pPr>
      <w:r>
        <w:rPr>
          <w:rFonts w:ascii="Times New Roman" w:cs="Times New Roman" w:eastAsia="Times New Roman" w:hAnsi="Times New Roman"/>
          <w:b/>
          <w:bCs/>
          <w:i/>
          <w:iCs/>
          <w:sz w:val="24"/>
          <w:szCs w:val="24"/>
        </w:rPr>
        <w:t xml:space="preserve">Patient Flow Analysis</w:t>
      </w:r>
    </w:p>
    <w:p>
      <w:pPr>
        <w:spacing w:after="120" w:line="480"/>
        <w:jc w:val="both"/>
      </w:pPr>
      <w:r>
        <w:rPr>
          <w:rFonts w:ascii="Times New Roman" w:cs="Times New Roman" w:eastAsia="Times New Roman" w:hAnsi="Times New Roman"/>
          <w:sz w:val="24"/>
          <w:szCs w:val="24"/>
        </w:rPr>
        <w:t xml:space="preserve">Inter-state patient flow was quantified by comparing each patient’s state of residence (res_SIGLA_UF) with the state where surgery was performed (int_SIGLA_UF). Net flow balance, percentage of imported caseload, and top flow corridors were computed. Geographic flow arrows and micropoint density maps were generated to visualize referral patterns.</w:t>
      </w:r>
    </w:p>
    <w:p>
      <w:pPr>
        <w:spacing w:after="80" w:line="480" w:before="200"/>
        <w:jc w:val="left"/>
      </w:pPr>
      <w:r>
        <w:rPr>
          <w:rFonts w:ascii="Times New Roman" w:cs="Times New Roman" w:eastAsia="Times New Roman" w:hAnsi="Times New Roman"/>
          <w:b/>
          <w:bCs/>
          <w:i/>
          <w:iCs/>
          <w:sz w:val="24"/>
          <w:szCs w:val="24"/>
        </w:rPr>
        <w:t xml:space="preserve">Software</w:t>
      </w:r>
    </w:p>
    <w:p>
      <w:pPr>
        <w:spacing w:after="120" w:line="480"/>
        <w:jc w:val="both"/>
      </w:pPr>
      <w:r>
        <w:rPr>
          <w:rFonts w:ascii="Times New Roman" w:cs="Times New Roman" w:eastAsia="Times New Roman" w:hAnsi="Times New Roman"/>
          <w:sz w:val="24"/>
          <w:szCs w:val="24"/>
        </w:rPr>
        <w:t xml:space="preserve">All analyses were performed using Python 3.13 with pandas 3.0, numpy 2.4, scipy 1.17, geopandas 1.1, libpysal 4.14, esda 2.8, scikit-posthocs 0.12, pymannkendall 1.4, and matplotlib 3.10. The complete analytical pipeline is available as a reproducible Jupyter notebook.</w:t>
      </w:r>
    </w:p>
    <w:p>
      <w:pPr>
        <w:pStyle w:val="Heading1"/>
        <w:pageBreakBefore/>
        <w:spacing w:after="120" w:line="480" w:before="240"/>
        <w:jc w:val="left"/>
      </w:pPr>
      <w:r>
        <w:rPr>
          <w:rFonts w:ascii="Arial" w:cs="Arial" w:eastAsia="Arial" w:hAnsi="Arial"/>
          <w:b/>
          <w:bCs/>
          <w:sz w:val="28"/>
          <w:szCs w:val="28"/>
        </w:rPr>
        <w:t xml:space="preserve">RESULTS</w:t>
      </w:r>
    </w:p>
    <w:p>
      <w:pPr>
        <w:spacing w:after="80" w:line="480" w:before="200"/>
        <w:jc w:val="left"/>
      </w:pPr>
      <w:r>
        <w:rPr>
          <w:rFonts w:ascii="Times New Roman" w:cs="Times New Roman" w:eastAsia="Times New Roman" w:hAnsi="Times New Roman"/>
          <w:b/>
          <w:bCs/>
          <w:i/>
          <w:iCs/>
          <w:sz w:val="24"/>
          <w:szCs w:val="24"/>
        </w:rPr>
        <w:t xml:space="preserve">Study Population</w:t>
      </w:r>
    </w:p>
    <w:p>
      <w:pPr>
        <w:spacing w:after="120" w:line="480"/>
        <w:jc w:val="both"/>
      </w:pPr>
      <w:r>
        <w:rPr>
          <w:rFonts w:ascii="Times New Roman" w:cs="Times New Roman" w:eastAsia="Times New Roman" w:hAnsi="Times New Roman"/>
          <w:sz w:val="24"/>
          <w:szCs w:val="24"/>
        </w:rPr>
        <w:t xml:space="preserve">A total of 58,818 spinal arthrodesis procedures were performed across 27 states during 2015–2020 (Table 1). The mean patient age was 48.1 years, with 56% female. Overall in-hospital mortality was 1.33%, mean LOS was 9.3 days, and mean inflation-adjusted cost was BRL 11,178 (USD 2,145). Annual procedure volume declined from 10,703 in 2015 to 7,343 in 2020, the latter reflecting COVID-19-related surgical curtailment (Table 2).</w:t>
      </w:r>
    </w:p>
    <w:p>
      <w:pPr>
        <w:spacing w:after="80" w:line="480" w:before="200"/>
        <w:jc w:val="left"/>
      </w:pPr>
      <w:r>
        <w:rPr>
          <w:rFonts w:ascii="Times New Roman" w:cs="Times New Roman" w:eastAsia="Times New Roman" w:hAnsi="Times New Roman"/>
          <w:b/>
          <w:bCs/>
          <w:i/>
          <w:iCs/>
          <w:sz w:val="24"/>
          <w:szCs w:val="24"/>
        </w:rPr>
        <w:t xml:space="preserve">Overall Geographic Variation</w:t>
      </w:r>
    </w:p>
    <w:p>
      <w:pPr>
        <w:spacing w:after="120" w:line="480"/>
        <w:jc w:val="both"/>
      </w:pPr>
      <w:r>
        <w:rPr>
          <w:rFonts w:ascii="Times New Roman" w:cs="Times New Roman" w:eastAsia="Times New Roman" w:hAnsi="Times New Roman"/>
          <w:sz w:val="24"/>
          <w:szCs w:val="24"/>
        </w:rPr>
        <w:t xml:space="preserve">The national arthrodesis rate was 4.66 per 100,000 inhabitants per year. State-level rates ranged from 0.29 per 100,000/year in Rio Grande do Norte (RN) to 14.63 in Paraná (PR), yielding an extremal ratio of 49.7 (Table 3). The coefficient of variation was 86.9% and the IQR ratio was 2.68 (IQR: 1.78–4.76 per 100,000/year). The mean SDR across states was 0.83, indicating that more states fell below the national average than above it.</w:t>
      </w:r>
    </w:p>
    <w:p>
      <w:pPr>
        <w:spacing w:after="120" w:line="480"/>
        <w:jc w:val="both"/>
      </w:pPr>
      <w:r>
        <w:rPr>
          <w:rFonts w:ascii="Times New Roman" w:cs="Times New Roman" w:eastAsia="Times New Roman" w:hAnsi="Times New Roman"/>
          <w:sz w:val="24"/>
          <w:szCs w:val="24"/>
        </w:rPr>
        <w:t xml:space="preserve">The four highest-rate states were Paraná (SDR=2.87), Goiás (SDR=2.19), Rio Grande do Sul (SDR=1.80), and Santa Catarina (SDR=1.44)—all in the South or Center-West regions. The four lowest-rate states were Rio Grande do Norte (SDR=0.06), Paraíba (SDR=0.11), Alagoas (SDR=0.11), and Amapá (SDR=0.12)—all in the North or Northeast (Figure 1).</w:t>
      </w:r>
    </w:p>
    <w:p>
      <w:pPr>
        <w:spacing w:after="80" w:line="480" w:before="200"/>
        <w:jc w:val="left"/>
      </w:pPr>
      <w:r>
        <w:rPr>
          <w:rFonts w:ascii="Times New Roman" w:cs="Times New Roman" w:eastAsia="Times New Roman" w:hAnsi="Times New Roman"/>
          <w:b/>
          <w:bCs/>
          <w:i/>
          <w:iCs/>
          <w:sz w:val="24"/>
          <w:szCs w:val="24"/>
        </w:rPr>
        <w:t xml:space="preserve">Comparison with US Data</w:t>
      </w:r>
    </w:p>
    <w:p>
      <w:pPr>
        <w:spacing w:after="120" w:line="480"/>
        <w:jc w:val="both"/>
      </w:pPr>
      <w:r>
        <w:rPr>
          <w:rFonts w:ascii="Times New Roman" w:cs="Times New Roman" w:eastAsia="Times New Roman" w:hAnsi="Times New Roman"/>
          <w:sz w:val="24"/>
          <w:szCs w:val="24"/>
        </w:rPr>
        <w:t xml:space="preserve">All three variation metrics substantially exceeded values reported by Weinstein et al. for US lumbar fusion (Table 3): CV 86.9% vs. 49.5%, extremal ratio 49.7 vs. 21.0, and IQR ratio 2.68 vs. 2.01. Brazil’s geographic variation in spinal arthrodesis is approximately 1.3–2.4 times greater than in the US Medicare system.</w:t>
      </w:r>
    </w:p>
    <w:p>
      <w:pPr>
        <w:spacing w:after="80" w:line="480" w:before="200"/>
        <w:jc w:val="left"/>
      </w:pPr>
      <w:r>
        <w:rPr>
          <w:rFonts w:ascii="Times New Roman" w:cs="Times New Roman" w:eastAsia="Times New Roman" w:hAnsi="Times New Roman"/>
          <w:b/>
          <w:bCs/>
          <w:i/>
          <w:iCs/>
          <w:sz w:val="24"/>
          <w:szCs w:val="24"/>
        </w:rPr>
        <w:t xml:space="preserve">Variation by Diagnosis Category</w:t>
      </w:r>
    </w:p>
    <w:p>
      <w:pPr>
        <w:spacing w:after="120" w:line="480"/>
        <w:jc w:val="both"/>
      </w:pPr>
      <w:r>
        <w:rPr>
          <w:rFonts w:ascii="Times New Roman" w:cs="Times New Roman" w:eastAsia="Times New Roman" w:hAnsi="Times New Roman"/>
          <w:sz w:val="24"/>
          <w:szCs w:val="24"/>
        </w:rPr>
        <w:t xml:space="preserve">Diagnosis-specific analysis revealed marked differences in variation magnitude (Table 4). Lumbar degenerative procedures (44% of total volume, rate 2.05/100,000/year) showed the highest CV (125.2%) and IQR ratio (5.20), consistent with preference-sensitive procedures exhibiting the greatest variation. Trauma procedures (27.4% of volume, rate 1.28/100,000/year) showed the lowest CV (62.4%), as expected for supply-insensitive conditions driven by disease incidence rather than surgical decision-making. Cervical degenerative procedures (7.9% of volume) had the highest IQR ratio (6.49), and deformity procedures (3.0%) showed high variation (CV=104.5%) consistent with dependence on specialized surgical centers (Figure 2).</w:t>
      </w:r>
    </w:p>
    <w:p>
      <w:pPr>
        <w:spacing w:after="80" w:line="480" w:before="200"/>
        <w:jc w:val="left"/>
      </w:pPr>
      <w:r>
        <w:rPr>
          <w:rFonts w:ascii="Times New Roman" w:cs="Times New Roman" w:eastAsia="Times New Roman" w:hAnsi="Times New Roman"/>
          <w:b/>
          <w:bCs/>
          <w:i/>
          <w:iCs/>
          <w:sz w:val="24"/>
          <w:szCs w:val="24"/>
        </w:rPr>
        <w:t xml:space="preserve">Municipality-Level Analysis</w:t>
      </w:r>
    </w:p>
    <w:p>
      <w:pPr>
        <w:spacing w:after="120" w:line="480"/>
        <w:jc w:val="both"/>
      </w:pPr>
      <w:r>
        <w:rPr>
          <w:rFonts w:ascii="Times New Roman" w:cs="Times New Roman" w:eastAsia="Times New Roman" w:hAnsi="Times New Roman"/>
          <w:sz w:val="24"/>
          <w:szCs w:val="24"/>
        </w:rPr>
        <w:t xml:space="preserve">Among 951 municipalities with ≥10 procedures, variation was dramatically greater than at state level: CV=280.2%, extremal ratio=215.6, consistent with the well-established finding that smaller geographic units reveal greater heterogeneity masked by state-level aggregation (Figure 3).</w:t>
      </w:r>
    </w:p>
    <w:p>
      <w:pPr>
        <w:spacing w:after="80" w:line="480" w:before="200"/>
        <w:jc w:val="left"/>
      </w:pPr>
      <w:r>
        <w:rPr>
          <w:rFonts w:ascii="Times New Roman" w:cs="Times New Roman" w:eastAsia="Times New Roman" w:hAnsi="Times New Roman"/>
          <w:b/>
          <w:bCs/>
          <w:i/>
          <w:iCs/>
          <w:sz w:val="24"/>
          <w:szCs w:val="24"/>
        </w:rPr>
        <w:t xml:space="preserve">Spatial Autocorrelation</w:t>
      </w:r>
    </w:p>
    <w:p>
      <w:pPr>
        <w:spacing w:after="120" w:line="480"/>
        <w:jc w:val="both"/>
      </w:pPr>
      <w:r>
        <w:rPr>
          <w:rFonts w:ascii="Times New Roman" w:cs="Times New Roman" w:eastAsia="Times New Roman" w:hAnsi="Times New Roman"/>
          <w:sz w:val="24"/>
          <w:szCs w:val="24"/>
        </w:rPr>
        <w:t xml:space="preserve">Global Moran’s I for state-level SDR was 0.42 (p=0.004, 9,999 permutations), confirming significant positive spatial autocorrelation—high-rate states cluster geographically with other high-rate states, and low-rate states cluster with low-rate states (Figure 4).</w:t>
      </w:r>
    </w:p>
    <w:p>
      <w:pPr>
        <w:spacing w:after="120" w:line="480"/>
        <w:jc w:val="both"/>
      </w:pPr>
      <w:r>
        <w:rPr>
          <w:rFonts w:ascii="Times New Roman" w:cs="Times New Roman" w:eastAsia="Times New Roman" w:hAnsi="Times New Roman"/>
          <w:sz w:val="24"/>
          <w:szCs w:val="24"/>
        </w:rPr>
        <w:t xml:space="preserve">LISA analysis identified six states in statistically significant clusters (p&lt;0.05): a high-high cluster comprising Santa Catarina, Mato Grosso do Sul, and São Paulo (the South/Southeast surgical hub zone), and a low-low cluster comprising Pernambuco, Ceará, and Pará (the North/Northeast access-deficit zone). Twenty-one states showed no significant local clustering (Figure 5).</w:t>
      </w:r>
    </w:p>
    <w:p>
      <w:pPr>
        <w:spacing w:after="80" w:line="480" w:before="200"/>
        <w:jc w:val="left"/>
      </w:pPr>
      <w:r>
        <w:rPr>
          <w:rFonts w:ascii="Times New Roman" w:cs="Times New Roman" w:eastAsia="Times New Roman" w:hAnsi="Times New Roman"/>
          <w:b/>
          <w:bCs/>
          <w:i/>
          <w:iCs/>
          <w:sz w:val="24"/>
          <w:szCs w:val="24"/>
        </w:rPr>
        <w:t xml:space="preserve">Specialist Supply Correlation</w:t>
      </w:r>
    </w:p>
    <w:p>
      <w:pPr>
        <w:spacing w:after="120" w:line="480"/>
        <w:jc w:val="both"/>
      </w:pPr>
      <w:r>
        <w:rPr>
          <w:rFonts w:ascii="Times New Roman" w:cs="Times New Roman" w:eastAsia="Times New Roman" w:hAnsi="Times New Roman"/>
          <w:sz w:val="24"/>
          <w:szCs w:val="24"/>
        </w:rPr>
        <w:t xml:space="preserve">Specialist density (neurosurgeons plus orthopedists per 100,000) was strongly correlated with arthrodesis rates (Spearman ρ=0.74, p&lt;0.001), confirming the supply-sensitive care hypothesis. Additional significant correlations included specialist density with mean patient age (ρ=0.76, p&lt;0.001) and procedure rate with mean age (ρ=0.64, p&lt;0.001), indicating that specialist-rich states serve older patients with elective degenerative indications (Figure 6).</w:t>
      </w:r>
    </w:p>
    <w:p>
      <w:pPr>
        <w:spacing w:after="80" w:line="480" w:before="200"/>
        <w:jc w:val="left"/>
      </w:pPr>
      <w:r>
        <w:rPr>
          <w:rFonts w:ascii="Times New Roman" w:cs="Times New Roman" w:eastAsia="Times New Roman" w:hAnsi="Times New Roman"/>
          <w:b/>
          <w:bCs/>
          <w:i/>
          <w:iCs/>
          <w:sz w:val="24"/>
          <w:szCs w:val="24"/>
        </w:rPr>
        <w:t xml:space="preserve">Regional Comparisons</w:t>
      </w:r>
    </w:p>
    <w:p>
      <w:pPr>
        <w:spacing w:after="120" w:line="480"/>
        <w:jc w:val="both"/>
      </w:pPr>
      <w:r>
        <w:rPr>
          <w:rFonts w:ascii="Times New Roman" w:cs="Times New Roman" w:eastAsia="Times New Roman" w:hAnsi="Times New Roman"/>
          <w:sz w:val="24"/>
          <w:szCs w:val="24"/>
        </w:rPr>
        <w:t xml:space="preserve">Kruskal-Wallis tests revealed significant differences across Brazil’s five macro-regions in procedure rate (H=16.1, p=0.003, η²=0.55), mean patient age (H=17.8, p=0.001, η²=0.63), and mean cost (H=12.4, p=0.015, η²=0.38). Importantly, in-hospital mortality did not differ significantly across regions (H=3.5, p=0.48), suggesting that once patients access surgery, outcomes are relatively homogeneous regardless of geography.</w:t>
      </w:r>
    </w:p>
    <w:p>
      <w:pPr>
        <w:spacing w:after="80" w:line="480" w:before="200"/>
        <w:jc w:val="left"/>
      </w:pPr>
      <w:r>
        <w:rPr>
          <w:rFonts w:ascii="Times New Roman" w:cs="Times New Roman" w:eastAsia="Times New Roman" w:hAnsi="Times New Roman"/>
          <w:b/>
          <w:bCs/>
          <w:i/>
          <w:iCs/>
          <w:sz w:val="24"/>
          <w:szCs w:val="24"/>
        </w:rPr>
        <w:t xml:space="preserve">Diagnosis Distribution by Region</w:t>
      </w:r>
    </w:p>
    <w:p>
      <w:pPr>
        <w:spacing w:after="120" w:line="480"/>
        <w:jc w:val="both"/>
      </w:pPr>
      <w:r>
        <w:rPr>
          <w:rFonts w:ascii="Times New Roman" w:cs="Times New Roman" w:eastAsia="Times New Roman" w:hAnsi="Times New Roman"/>
          <w:sz w:val="24"/>
          <w:szCs w:val="24"/>
        </w:rPr>
        <w:t xml:space="preserve">The Chi-square test confirmed that diagnosis mix differs significantly across regions (χ²=4,557, p&lt;0.001, Cramér’s V=0.14). South and Center-West regions over-represent lumbar degenerative (elective) procedures and under-represent trauma, while North and Northeast regions show the opposite pattern—consistent with supply-driven elective surgery in resource-rich states and need-driven trauma surgery in resource-limited states.</w:t>
      </w:r>
    </w:p>
    <w:p>
      <w:pPr>
        <w:spacing w:after="80" w:line="480" w:before="200"/>
        <w:jc w:val="left"/>
      </w:pPr>
      <w:r>
        <w:rPr>
          <w:rFonts w:ascii="Times New Roman" w:cs="Times New Roman" w:eastAsia="Times New Roman" w:hAnsi="Times New Roman"/>
          <w:b/>
          <w:bCs/>
          <w:i/>
          <w:iCs/>
          <w:sz w:val="24"/>
          <w:szCs w:val="24"/>
        </w:rPr>
        <w:t xml:space="preserve">Temporal Trends</w:t>
      </w:r>
    </w:p>
    <w:p>
      <w:pPr>
        <w:spacing w:after="120" w:line="480"/>
        <w:jc w:val="both"/>
      </w:pPr>
      <w:r>
        <w:rPr>
          <w:rFonts w:ascii="Times New Roman" w:cs="Times New Roman" w:eastAsia="Times New Roman" w:hAnsi="Times New Roman"/>
          <w:sz w:val="24"/>
          <w:szCs w:val="24"/>
        </w:rPr>
        <w:t xml:space="preserve">Mann-Kendall tests identified significant declining trends in both arthrodesis rate (τ=−0.87, Sen’s slope=−0.13/100,000/year, p=0.024) and mean inflation-adjusted cost (τ=−1.0, Sen’s slope=−BRL 1,032/year, p=0.009) during 2015–2020. Mortality, LOS, mean age, and ICU utilization showed no significant temporal trends. The declining volume trend should be interpreted cautiously, as 2020 was heavily impacted by COVID-19.</w:t>
      </w:r>
    </w:p>
    <w:p>
      <w:pPr>
        <w:spacing w:after="80" w:line="480" w:before="200"/>
        <w:jc w:val="left"/>
      </w:pPr>
      <w:r>
        <w:rPr>
          <w:rFonts w:ascii="Times New Roman" w:cs="Times New Roman" w:eastAsia="Times New Roman" w:hAnsi="Times New Roman"/>
          <w:b/>
          <w:bCs/>
          <w:i/>
          <w:iCs/>
          <w:sz w:val="24"/>
          <w:szCs w:val="24"/>
        </w:rPr>
        <w:t xml:space="preserve">Patient Flow</w:t>
      </w:r>
    </w:p>
    <w:p>
      <w:pPr>
        <w:spacing w:after="120" w:line="480"/>
        <w:jc w:val="both"/>
      </w:pPr>
      <w:r>
        <w:rPr>
          <w:rFonts w:ascii="Times New Roman" w:cs="Times New Roman" w:eastAsia="Times New Roman" w:hAnsi="Times New Roman"/>
          <w:sz w:val="24"/>
          <w:szCs w:val="24"/>
        </w:rPr>
        <w:t xml:space="preserve">Of 58,818 procedures, 97.9% were performed in the patient’s state of residence. Only 1,353 patients (2.1%) crossed state borders for surgery. Brasília (Federal District) was the dominant import hub, with a net inflow of +422 patients and 28.8% of its caseload imported—primarily from Goiás (241 patients, the single largest corridor) and Minas Gerais (86 patients). Paraná was the second-largest importer (net +164), drawing primarily from Santa Catarina (174 patients). North and Northeast states were net exporters, consistent with regional access deficits (Figure 7, Figure 8).</w:t>
      </w:r>
    </w:p>
    <w:p>
      <w:pPr>
        <w:pStyle w:val="Heading1"/>
        <w:pageBreakBefore/>
        <w:spacing w:after="120" w:line="480" w:before="240"/>
        <w:jc w:val="left"/>
      </w:pPr>
      <w:r>
        <w:rPr>
          <w:rFonts w:ascii="Arial" w:cs="Arial" w:eastAsia="Arial" w:hAnsi="Arial"/>
          <w:b/>
          <w:bCs/>
          <w:sz w:val="28"/>
          <w:szCs w:val="28"/>
        </w:rPr>
        <w:t xml:space="preserve">DISCUSSION</w:t>
      </w:r>
    </w:p>
    <w:p>
      <w:pPr>
        <w:spacing w:after="120" w:line="480"/>
        <w:jc w:val="both"/>
      </w:pPr>
      <w:r>
        <w:rPr>
          <w:rFonts w:ascii="Times New Roman" w:cs="Times New Roman" w:eastAsia="Times New Roman" w:hAnsi="Times New Roman"/>
          <w:sz w:val="24"/>
          <w:szCs w:val="24"/>
        </w:rPr>
        <w:t xml:space="preserve">This study demonstrates that geographic variation in spinal arthrodesis rates within Brazil’s universal healthcare system is substantially greater than that reported for the US Medicare system by Weinstein et al. The CV of 86.9% is nearly double Weinstein’s 49.5%, and the extremal ratio of 49.7 represents a 50-fold difference between the highest and lowest rate states, compared to a 21-fold difference across US hospital referral regions. These findings indicate that universal coverage alone does not eliminate geographic disparities in surgical access.</w:t>
      </w:r>
    </w:p>
    <w:p>
      <w:pPr>
        <w:spacing w:after="120" w:line="480"/>
        <w:jc w:val="both"/>
      </w:pPr>
      <w:r>
        <w:rPr>
          <w:rFonts w:ascii="Times New Roman" w:cs="Times New Roman" w:eastAsia="Times New Roman" w:hAnsi="Times New Roman"/>
          <w:sz w:val="24"/>
          <w:szCs w:val="24"/>
        </w:rPr>
        <w:t xml:space="preserve">Several structural factors likely contribute to Brazil’s greater variation. First, the distribution of spine surgery specialists is highly uneven: neurosurgeons and orthopedists are concentrated in the South and Southeast, with the specialist density–procedure rate correlation (ρ=0.74) confirming Wennberg’s supply-sensitive care hypothesis.</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Second, Brazil’s continental geography creates physical access barriers, with patients in the Amazon region facing distances exceeding 1,000 km to the nearest spine surgery center. Third, state-level variation in SUS regulatory frameworks—including procedure authorization requirements and hospital accreditation standards—may contribute to rate heterogeneity beyond clinical need.</w:t>
      </w:r>
    </w:p>
    <w:p>
      <w:pPr>
        <w:spacing w:after="120" w:line="480"/>
        <w:jc w:val="both"/>
      </w:pPr>
      <w:r>
        <w:rPr>
          <w:rFonts w:ascii="Times New Roman" w:cs="Times New Roman" w:eastAsia="Times New Roman" w:hAnsi="Times New Roman"/>
          <w:sz w:val="24"/>
          <w:szCs w:val="24"/>
        </w:rPr>
        <w:t xml:space="preserve">The diagnosis-specific analysis yielded patterns highly consistent with the supply-sensitive care framework. Lumbar degenerative procedures—the most discretionary category—showed the greatest variation (CV=125.2%), while trauma—the least discretionary—showed the least (CV=62.4%). This gradient from high variation in preference-sensitive procedures to low variation in need-driven procedures mirrors Weinstein’s findings and has been replicated across multiple surgical domains.</w:t>
      </w:r>
      <w:r>
        <w:rPr>
          <w:rFonts w:ascii="Times New Roman" w:cs="Times New Roman" w:eastAsia="Times New Roman" w:hAnsi="Times New Roman"/>
          <w:sz w:val="24"/>
          <w:szCs w:val="24"/>
          <w:vertAlign w:val="superscript"/>
        </w:rPr>
        <w:t xml:space="preserve">7,8</w:t>
      </w:r>
    </w:p>
    <w:p>
      <w:pPr>
        <w:spacing w:after="120" w:line="480"/>
        <w:jc w:val="both"/>
      </w:pPr>
      <w:r>
        <w:rPr>
          <w:rFonts w:ascii="Times New Roman" w:cs="Times New Roman" w:eastAsia="Times New Roman" w:hAnsi="Times New Roman"/>
          <w:sz w:val="24"/>
          <w:szCs w:val="24"/>
        </w:rPr>
        <w:t xml:space="preserve">The spatial clustering analysis adds important evidence. Moran’s I of 0.42 (p=0.004) confirms that variation is not randomly distributed but geographically structured, with a clear North–South gradient. The LISA-identified low-low cluster (Pernambuco, Ceará, Pará) represents a contiguous zone of surgical underservice extending from the Amazon to the Northeast coast. This finding has direct policy implications: capacity-building investments should target this corridor rather than individual states in isolation.</w:t>
      </w:r>
    </w:p>
    <w:p>
      <w:pPr>
        <w:spacing w:after="120" w:line="480"/>
        <w:jc w:val="both"/>
      </w:pPr>
      <w:r>
        <w:rPr>
          <w:rFonts w:ascii="Times New Roman" w:cs="Times New Roman" w:eastAsia="Times New Roman" w:hAnsi="Times New Roman"/>
          <w:sz w:val="24"/>
          <w:szCs w:val="24"/>
        </w:rPr>
        <w:t xml:space="preserve">The minimal cross-state patient flow (2.1%) is noteworthy. In the US, inter-region referral partially compensates for local capacity deficits. In Brazil, geographic barriers, SUS administrative requirements for inter-state referrals, and socioeconomic constraints appear to limit patient mobility. The concentration of imports in Brasília (28.8% of caseload) reflects its unique status as a federal capital with tertiary hospitals surrounded by large population centers.</w:t>
      </w:r>
    </w:p>
    <w:p>
      <w:pPr>
        <w:spacing w:after="120" w:line="480"/>
        <w:jc w:val="both"/>
      </w:pPr>
      <w:r>
        <w:rPr>
          <w:rFonts w:ascii="Times New Roman" w:cs="Times New Roman" w:eastAsia="Times New Roman" w:hAnsi="Times New Roman"/>
          <w:sz w:val="24"/>
          <w:szCs w:val="24"/>
        </w:rPr>
        <w:t xml:space="preserve">The finding that in-hospital mortality does not differ significantly across regions (p=0.48) is encouraging, suggesting that surgical quality is relatively uniform for patients who do access surgery. However, the bivariate analysis revealed that several low-rate states in the North and Northeast combine limited access with higher mortality, warranting targeted investigation of both capacity and quality in these settings.</w:t>
      </w:r>
    </w:p>
    <w:p>
      <w:pPr>
        <w:spacing w:after="120" w:line="480"/>
        <w:jc w:val="both"/>
      </w:pPr>
      <w:r>
        <w:rPr>
          <w:rFonts w:ascii="Times New Roman" w:cs="Times New Roman" w:eastAsia="Times New Roman" w:hAnsi="Times New Roman"/>
          <w:sz w:val="24"/>
          <w:szCs w:val="24"/>
        </w:rPr>
        <w:t xml:space="preserve">The significant declining trend in arthrodesis rates (2015–2020) should be interpreted with caution. While part of this decline may reflect tightening SUS reimbursement policies and evolving clinical guidelines favoring conservative management, the substantial 2020 drop is attributable to COVID-19-related surgical curtailment. Longer follow-up beyond the pandemic period is needed to distinguish secular trends from pandemic artifact.</w:t>
      </w:r>
    </w:p>
    <w:p>
      <w:pPr>
        <w:spacing w:after="80" w:line="480" w:before="200"/>
        <w:jc w:val="left"/>
      </w:pPr>
      <w:r>
        <w:rPr>
          <w:rFonts w:ascii="Times New Roman" w:cs="Times New Roman" w:eastAsia="Times New Roman" w:hAnsi="Times New Roman"/>
          <w:b/>
          <w:bCs/>
          <w:i/>
          <w:iCs/>
          <w:sz w:val="24"/>
          <w:szCs w:val="24"/>
        </w:rPr>
        <w:t xml:space="preserve">Limitations</w:t>
      </w:r>
    </w:p>
    <w:p>
      <w:pPr>
        <w:spacing w:after="120" w:line="480"/>
        <w:jc w:val="both"/>
      </w:pPr>
      <w:r>
        <w:rPr>
          <w:rFonts w:ascii="Times New Roman" w:cs="Times New Roman" w:eastAsia="Times New Roman" w:hAnsi="Times New Roman"/>
          <w:sz w:val="24"/>
          <w:szCs w:val="24"/>
        </w:rPr>
        <w:t xml:space="preserve">This study has several limitations. First, the state-level analysis (N=27 geographic units) has lower statistical resolution than Weinstein’s HRR-level analysis (N=306 units). Municipality-level analysis partially addresses this but lacks population-denominator data for rate calculations. Second, ICD-10 diagnosis classification of spinal level is imperfect, with some codes mapping ambiguously between lumbar and cervical regions. Third, a single mid-period population estimate was used as the denominator for 6-year aggregate rates, which may introduce modest bias for rapidly growing states. Fourth, the study period includes the COVID-19 pandemic, which disproportionately affected surgical volumes in 2020. Fifth, SUS data capture public sector procedures only; private-sector arthrodesis volumes are not included, and private-sector utilization patterns may differ.</w:t>
      </w:r>
    </w:p>
    <w:p>
      <w:pPr>
        <w:spacing w:after="80" w:line="480" w:before="200"/>
        <w:jc w:val="left"/>
      </w:pPr>
      <w:r>
        <w:rPr>
          <w:rFonts w:ascii="Times New Roman" w:cs="Times New Roman" w:eastAsia="Times New Roman" w:hAnsi="Times New Roman"/>
          <w:b/>
          <w:bCs/>
          <w:i/>
          <w:iCs/>
          <w:sz w:val="24"/>
          <w:szCs w:val="24"/>
        </w:rPr>
        <w:t xml:space="preserve">Conclusions</w:t>
      </w:r>
    </w:p>
    <w:p>
      <w:pPr>
        <w:spacing w:after="120" w:line="480"/>
        <w:jc w:val="both"/>
      </w:pPr>
      <w:r>
        <w:rPr>
          <w:rFonts w:ascii="Times New Roman" w:cs="Times New Roman" w:eastAsia="Times New Roman" w:hAnsi="Times New Roman"/>
          <w:sz w:val="24"/>
          <w:szCs w:val="24"/>
        </w:rPr>
        <w:t xml:space="preserve">Geographic variation in spinal arthrodesis rates in Brazil’s SUS is nearly double that of the US Medicare system, with a clear North–South gradient driven by specialist supply rather than disease prevalence. Preference-sensitive procedures show the greatest variation, consistent with the Wennberg framework. The identified spatial clusters of underservice provide a roadmap for targeted policy interventions to reduce access inequity in Brazil’s universal healthcare system.</w:t>
      </w:r>
    </w:p>
    <w:p>
      <w:pPr>
        <w:pStyle w:val="Heading1"/>
        <w:pageBreakBefore/>
        <w:spacing w:after="120" w:line="480" w:before="240"/>
        <w:jc w:val="left"/>
      </w:pPr>
      <w:r>
        <w:rPr>
          <w:rFonts w:ascii="Arial" w:cs="Arial" w:eastAsia="Arial" w:hAnsi="Arial"/>
          <w:b/>
          <w:bCs/>
          <w:sz w:val="28"/>
          <w:szCs w:val="28"/>
        </w:rPr>
        <w:t xml:space="preserve">REFERENCES</w:t>
      </w:r>
    </w:p>
    <w:p>
      <w:pPr>
        <w:spacing w:after="60" w:line="360"/>
        <w:ind w:left="360" w:hanging="360"/>
        <w:jc w:val="both"/>
      </w:pPr>
      <w:r>
        <w:rPr>
          <w:rFonts w:ascii="Times New Roman" w:cs="Times New Roman" w:eastAsia="Times New Roman" w:hAnsi="Times New Roman"/>
          <w:sz w:val="20"/>
          <w:szCs w:val="20"/>
        </w:rPr>
        <w:t xml:space="preserve">1. Wennberg JE, Gittelsohn A. Small area variations in health care delivery. Science. 1973;182(4117):1102–1108.</w:t>
      </w:r>
    </w:p>
    <w:p>
      <w:pPr>
        <w:spacing w:after="60" w:line="360"/>
        <w:ind w:left="360" w:hanging="360"/>
        <w:jc w:val="both"/>
      </w:pPr>
      <w:r>
        <w:rPr>
          <w:rFonts w:ascii="Times New Roman" w:cs="Times New Roman" w:eastAsia="Times New Roman" w:hAnsi="Times New Roman"/>
          <w:sz w:val="20"/>
          <w:szCs w:val="20"/>
        </w:rPr>
        <w:t xml:space="preserve">2. Wennberg JE, Fisher ES, Skinner JS. Geography and the debate over Medicare reform. Health Aff (Millwood). 2002;Suppl Web Exclusives:W96–114.</w:t>
      </w:r>
    </w:p>
    <w:p>
      <w:pPr>
        <w:spacing w:after="60" w:line="360"/>
        <w:ind w:left="360" w:hanging="360"/>
        <w:jc w:val="both"/>
      </w:pPr>
      <w:r>
        <w:rPr>
          <w:rFonts w:ascii="Times New Roman" w:cs="Times New Roman" w:eastAsia="Times New Roman" w:hAnsi="Times New Roman"/>
          <w:sz w:val="20"/>
          <w:szCs w:val="20"/>
        </w:rPr>
        <w:t xml:space="preserve">3. Dartmouth Atlas of Health Care. Effective Care. Available at: www.dartmouthatlas.org. Accessed 2026.</w:t>
      </w:r>
    </w:p>
    <w:p>
      <w:pPr>
        <w:spacing w:after="60" w:line="360"/>
        <w:ind w:left="360" w:hanging="360"/>
        <w:jc w:val="both"/>
      </w:pPr>
      <w:r>
        <w:rPr>
          <w:rFonts w:ascii="Times New Roman" w:cs="Times New Roman" w:eastAsia="Times New Roman" w:hAnsi="Times New Roman"/>
          <w:sz w:val="20"/>
          <w:szCs w:val="20"/>
        </w:rPr>
        <w:t xml:space="preserve">4. Weinstein JN, Lurie JD, Olson PR, et al. United States’ trends and regional variations in lumbar spine surgery: 1992–2003. Spine (Phila Pa 1976). 2006;31(23):2707–2714.</w:t>
      </w:r>
    </w:p>
    <w:p>
      <w:pPr>
        <w:spacing w:after="60" w:line="360"/>
        <w:ind w:left="360" w:hanging="360"/>
        <w:jc w:val="both"/>
      </w:pPr>
      <w:r>
        <w:rPr>
          <w:rFonts w:ascii="Times New Roman" w:cs="Times New Roman" w:eastAsia="Times New Roman" w:hAnsi="Times New Roman"/>
          <w:sz w:val="20"/>
          <w:szCs w:val="20"/>
        </w:rPr>
        <w:t xml:space="preserve">5. Albuquerque MV, Viacava F, Oliveira RAD, et al. Regional health inequalities: changes observed in Brazil from 2000–2016. Cien Saude Colet. 2017;22(4):1015–1028.</w:t>
      </w:r>
    </w:p>
    <w:p>
      <w:pPr>
        <w:spacing w:after="60" w:line="360"/>
        <w:ind w:left="360" w:hanging="360"/>
        <w:jc w:val="both"/>
      </w:pPr>
      <w:r>
        <w:rPr>
          <w:rFonts w:ascii="Times New Roman" w:cs="Times New Roman" w:eastAsia="Times New Roman" w:hAnsi="Times New Roman"/>
          <w:sz w:val="20"/>
          <w:szCs w:val="20"/>
        </w:rPr>
        <w:t xml:space="preserve">6. Ramos MCA, da Silva EN, Raggio LR, et al. Access to orthopedic surgery in the Brazilian public health system. Rev Saude Publica. 2020;54:28.</w:t>
      </w:r>
    </w:p>
    <w:p>
      <w:pPr>
        <w:spacing w:after="60" w:line="360"/>
        <w:ind w:left="360" w:hanging="360"/>
        <w:jc w:val="both"/>
      </w:pPr>
      <w:r>
        <w:rPr>
          <w:rFonts w:ascii="Times New Roman" w:cs="Times New Roman" w:eastAsia="Times New Roman" w:hAnsi="Times New Roman"/>
          <w:sz w:val="20"/>
          <w:szCs w:val="20"/>
        </w:rPr>
        <w:t xml:space="preserve">7. Birkmeyer JD, Reames BN, McCulloch P, et al. Understanding of regional variation in the use of surgery. Lancet. 2013;382(9898):1121–1129.</w:t>
      </w:r>
    </w:p>
    <w:p>
      <w:pPr>
        <w:spacing w:after="60" w:line="360"/>
        <w:ind w:left="360" w:hanging="360"/>
        <w:jc w:val="both"/>
      </w:pPr>
      <w:r>
        <w:rPr>
          <w:rFonts w:ascii="Times New Roman" w:cs="Times New Roman" w:eastAsia="Times New Roman" w:hAnsi="Times New Roman"/>
          <w:sz w:val="20"/>
          <w:szCs w:val="20"/>
        </w:rPr>
        <w:t xml:space="preserve">8. OECD. Geographic Variations in Health Care: What Do We Know and What Can Be Done to Improve Health System Performance? Paris: OECD Publishing; 2014.</w:t>
      </w:r>
    </w:p>
    <w:p>
      <w:r>
        <w:br w:type="page"/>
      </w:r>
    </w:p>
    <w:p>
      <w:pPr>
        <w:pStyle w:val="Heading1"/>
        <w:spacing w:after="120" w:line="480" w:before="240"/>
        <w:jc w:val="left"/>
      </w:pPr>
      <w:r>
        <w:rPr>
          <w:rFonts w:ascii="Arial" w:cs="Arial" w:eastAsia="Arial" w:hAnsi="Arial"/>
          <w:b/>
          <w:bCs/>
          <w:sz w:val="28"/>
          <w:szCs w:val="28"/>
        </w:rPr>
        <w:t xml:space="preserve">TABLES</w:t>
      </w:r>
    </w:p>
    <w:p>
      <w:pPr>
        <w:pStyle w:val="Heading2"/>
        <w:spacing w:after="120" w:line="480" w:before="240"/>
        <w:jc w:val="left"/>
      </w:pPr>
      <w:r>
        <w:rPr>
          <w:rFonts w:ascii="Arial" w:cs="Arial" w:eastAsia="Arial" w:hAnsi="Arial"/>
          <w:b/>
          <w:bCs/>
          <w:sz w:val="24"/>
          <w:szCs w:val="24"/>
        </w:rPr>
        <w:t xml:space="preserve">Table 3. Weinstein-Style Variation Metrics: Brazil vs. United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Metric</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Brazil SUS
All Arthrodesis</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Brazil SUS
Lumbar Degen.</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US Lumbar Fusion
(Weinstein)</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p*</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Geographic unit</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State (N=27)</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State (N=27)</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HRR (N=306)</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Period</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2015–2020</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2015–2020</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1992–2003</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Total procedures</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58,818</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25,880</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Rate per 100,000/yr</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4.66</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2.05</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CV (%)</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86.9</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125.2</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49.5</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Extremal ratio</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49.7</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100.4</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21.0</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IQR ratio</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2.68</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5.20</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2.01</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r>
        <w:tc>
          <w:tcPr>
            <w:tcW w:type="dxa" w:w="22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Mean SDR</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0.83</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0.82</w:t>
            </w:r>
          </w:p>
        </w:tc>
        <w:tc>
          <w:tcPr>
            <w:tcW w:type="dxa" w:w="18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1.1</w:t>
            </w:r>
          </w:p>
        </w:tc>
        <w:tc>
          <w:tcPr>
            <w:tcW w:type="dxa" w:w="17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w:t>
            </w:r>
          </w:p>
        </w:tc>
      </w:tr>
    </w:tbl>
    <w:p>
      <w:pPr>
        <w:spacing w:after="200" w:line="480"/>
        <w:jc w:val="both"/>
      </w:pPr>
      <w:r>
        <w:rPr>
          <w:rFonts w:ascii="Times New Roman" w:cs="Times New Roman" w:eastAsia="Times New Roman" w:hAnsi="Times New Roman"/>
          <w:sz w:val="24"/>
          <w:szCs w:val="24"/>
        </w:rPr>
        <w:t xml:space="preserve"/>
      </w:r>
    </w:p>
    <w:p>
      <w:pPr>
        <w:pStyle w:val="Heading2"/>
        <w:spacing w:after="120" w:line="480" w:before="240"/>
        <w:jc w:val="left"/>
      </w:pPr>
      <w:r>
        <w:rPr>
          <w:rFonts w:ascii="Arial" w:cs="Arial" w:eastAsia="Arial" w:hAnsi="Arial"/>
          <w:b/>
          <w:bCs/>
          <w:sz w:val="24"/>
          <w:szCs w:val="24"/>
        </w:rPr>
        <w:t xml:space="preserve">Table 4. Variation Metrics by Diagnosis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300"/>
        <w:gridCol w:w="1100"/>
        <w:gridCol w:w="1400"/>
        <w:gridCol w:w="1200"/>
        <w:gridCol w:w="1360"/>
      </w:tblGrid>
      <w:tr>
        <w:tc>
          <w:tcPr>
            <w:tcW w:type="dxa" w:w="21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Category</w:t>
            </w:r>
          </w:p>
        </w:tc>
        <w:tc>
          <w:tcPr>
            <w:tcW w:type="dxa" w:w="9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N</w:t>
            </w:r>
          </w:p>
        </w:tc>
        <w:tc>
          <w:tcPr>
            <w:tcW w:type="dxa" w:w="13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Rate/100k/yr</w:t>
            </w:r>
          </w:p>
        </w:tc>
        <w:tc>
          <w:tcPr>
            <w:tcW w:type="dxa" w:w="11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CV (%)</w:t>
            </w:r>
          </w:p>
        </w:tc>
        <w:tc>
          <w:tcPr>
            <w:tcW w:type="dxa" w:w="14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Extremal Ratio</w:t>
            </w:r>
          </w:p>
        </w:tc>
        <w:tc>
          <w:tcPr>
            <w:tcW w:type="dxa" w:w="12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IQR Ratio</w:t>
            </w:r>
          </w:p>
        </w:tc>
        <w:tc>
          <w:tcPr>
            <w:tcW w:type="dxa" w:w="13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Mean SDR</w:t>
            </w:r>
          </w:p>
        </w:tc>
      </w:tr>
      <w:tr>
        <w:tc>
          <w:tcPr>
            <w:tcW w:type="dxa" w:w="21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Lumbar degenerative</w:t>
            </w:r>
          </w:p>
        </w:tc>
        <w:tc>
          <w:tcPr>
            <w:tcW w:type="dxa" w:w="9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25,880</w:t>
            </w:r>
          </w:p>
        </w:tc>
        <w:tc>
          <w:tcPr>
            <w:tcW w:type="dxa" w:w="13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2.05</w:t>
            </w:r>
          </w:p>
        </w:tc>
        <w:tc>
          <w:tcPr>
            <w:tcW w:type="dxa" w:w="11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125.2</w:t>
            </w:r>
          </w:p>
        </w:tc>
        <w:tc>
          <w:tcPr>
            <w:tcW w:type="dxa" w:w="14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100.4</w:t>
            </w:r>
          </w:p>
        </w:tc>
        <w:tc>
          <w:tcPr>
            <w:tcW w:type="dxa" w:w="12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5.20</w:t>
            </w:r>
          </w:p>
        </w:tc>
        <w:tc>
          <w:tcPr>
            <w:tcW w:type="dxa" w:w="13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0.82</w:t>
            </w:r>
          </w:p>
        </w:tc>
      </w:tr>
      <w:tr>
        <w:tc>
          <w:tcPr>
            <w:tcW w:type="dxa" w:w="21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Cervical degenerative</w:t>
            </w:r>
          </w:p>
        </w:tc>
        <w:tc>
          <w:tcPr>
            <w:tcW w:type="dxa" w:w="9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4,642</w:t>
            </w:r>
          </w:p>
        </w:tc>
        <w:tc>
          <w:tcPr>
            <w:tcW w:type="dxa" w:w="13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0.37</w:t>
            </w:r>
          </w:p>
        </w:tc>
        <w:tc>
          <w:tcPr>
            <w:tcW w:type="dxa" w:w="11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94.1</w:t>
            </w:r>
          </w:p>
        </w:tc>
        <w:tc>
          <w:tcPr>
            <w:tcW w:type="dxa" w:w="14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76.4</w:t>
            </w:r>
          </w:p>
        </w:tc>
        <w:tc>
          <w:tcPr>
            <w:tcW w:type="dxa" w:w="12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6.49</w:t>
            </w:r>
          </w:p>
        </w:tc>
        <w:tc>
          <w:tcPr>
            <w:tcW w:type="dxa" w:w="13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0.77</w:t>
            </w:r>
          </w:p>
        </w:tc>
      </w:tr>
      <w:tr>
        <w:tc>
          <w:tcPr>
            <w:tcW w:type="dxa" w:w="21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Trauma</w:t>
            </w:r>
          </w:p>
        </w:tc>
        <w:tc>
          <w:tcPr>
            <w:tcW w:type="dxa" w:w="9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16,114</w:t>
            </w:r>
          </w:p>
        </w:tc>
        <w:tc>
          <w:tcPr>
            <w:tcW w:type="dxa" w:w="13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1.28</w:t>
            </w:r>
          </w:p>
        </w:tc>
        <w:tc>
          <w:tcPr>
            <w:tcW w:type="dxa" w:w="11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62.4</w:t>
            </w:r>
          </w:p>
        </w:tc>
        <w:tc>
          <w:tcPr>
            <w:tcW w:type="dxa" w:w="14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269.0</w:t>
            </w:r>
          </w:p>
        </w:tc>
        <w:tc>
          <w:tcPr>
            <w:tcW w:type="dxa" w:w="12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2.64</w:t>
            </w:r>
          </w:p>
        </w:tc>
        <w:tc>
          <w:tcPr>
            <w:tcW w:type="dxa" w:w="13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0.88</w:t>
            </w:r>
          </w:p>
        </w:tc>
      </w:tr>
      <w:tr>
        <w:tc>
          <w:tcPr>
            <w:tcW w:type="dxa" w:w="21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Deformity</w:t>
            </w:r>
          </w:p>
        </w:tc>
        <w:tc>
          <w:tcPr>
            <w:tcW w:type="dxa" w:w="9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1,752</w:t>
            </w:r>
          </w:p>
        </w:tc>
        <w:tc>
          <w:tcPr>
            <w:tcW w:type="dxa" w:w="13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0.14</w:t>
            </w:r>
          </w:p>
        </w:tc>
        <w:tc>
          <w:tcPr>
            <w:tcW w:type="dxa" w:w="11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104.5</w:t>
            </w:r>
          </w:p>
        </w:tc>
        <w:tc>
          <w:tcPr>
            <w:tcW w:type="dxa" w:w="14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41.3</w:t>
            </w:r>
          </w:p>
        </w:tc>
        <w:tc>
          <w:tcPr>
            <w:tcW w:type="dxa" w:w="12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5.07</w:t>
            </w:r>
          </w:p>
        </w:tc>
        <w:tc>
          <w:tcPr>
            <w:tcW w:type="dxa" w:w="13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0.88</w:t>
            </w:r>
          </w:p>
        </w:tc>
      </w:tr>
      <w:tr>
        <w:tc>
          <w:tcPr>
            <w:tcW w:type="dxa" w:w="21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All arthrodesis</w:t>
            </w:r>
          </w:p>
        </w:tc>
        <w:tc>
          <w:tcPr>
            <w:tcW w:type="dxa" w:w="9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58,818</w:t>
            </w:r>
          </w:p>
        </w:tc>
        <w:tc>
          <w:tcPr>
            <w:tcW w:type="dxa" w:w="13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4.66</w:t>
            </w:r>
          </w:p>
        </w:tc>
        <w:tc>
          <w:tcPr>
            <w:tcW w:type="dxa" w:w="11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86.9</w:t>
            </w:r>
          </w:p>
        </w:tc>
        <w:tc>
          <w:tcPr>
            <w:tcW w:type="dxa" w:w="14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49.7</w:t>
            </w:r>
          </w:p>
        </w:tc>
        <w:tc>
          <w:tcPr>
            <w:tcW w:type="dxa" w:w="12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2.68</w:t>
            </w:r>
          </w:p>
        </w:tc>
        <w:tc>
          <w:tcPr>
            <w:tcW w:type="dxa" w:w="13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0.83</w:t>
            </w:r>
          </w:p>
        </w:tc>
      </w:tr>
    </w:tbl>
    <w:p>
      <w:pPr>
        <w:spacing w:after="200" w:line="480"/>
        <w:jc w:val="both"/>
      </w:pPr>
      <w:r>
        <w:rPr>
          <w:rFonts w:ascii="Times New Roman" w:cs="Times New Roman" w:eastAsia="Times New Roman" w:hAnsi="Times New Roman"/>
          <w:sz w:val="24"/>
          <w:szCs w:val="24"/>
        </w:rPr>
        <w:t xml:space="preserve"/>
      </w:r>
    </w:p>
    <w:p>
      <w:pPr>
        <w:pStyle w:val="Heading2"/>
        <w:spacing w:after="120" w:line="480" w:before="240"/>
        <w:jc w:val="left"/>
      </w:pPr>
      <w:r>
        <w:rPr>
          <w:rFonts w:ascii="Arial" w:cs="Arial" w:eastAsia="Arial" w:hAnsi="Arial"/>
          <w:b/>
          <w:bCs/>
          <w:sz w:val="24"/>
          <w:szCs w:val="24"/>
        </w:rPr>
        <w:t xml:space="preserve">Table 5. Summary of Statistical Tests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000"/>
        <w:gridCol w:w="3860"/>
      </w:tblGrid>
      <w:tr>
        <w:tc>
          <w:tcPr>
            <w:tcW w:type="dxa" w:w="25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Test</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Statistic</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p-value</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b/>
                <w:bCs/>
                <w:sz w:val="20"/>
                <w:szCs w:val="20"/>
              </w:rPr>
              <w:t xml:space="preserve">Conclusion</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Kruskal-Wallis (rate)</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H=16.1</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0.003</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Rates differ across regions</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Kruskal-Wallis (age)</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H=17.8</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0.001</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Patient age differs across regions</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Kruskal-Wallis (cost)</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H=12.4</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0.015</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Cost differs across regions</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Kruskal-Wallis (mortality)</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H=3.5</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0.480</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Mortality does NOT differ</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Moran’s I (SDR)</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I=0.42</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0.004</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Significant spatial clustering</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LISA clusters</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6 states</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&lt;0.05</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HH: SC,MS,SP; LL: PE,CE,PA</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Mann-Kendall (rate)</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τ=−0.87</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0.024</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Declining trend (incl. COVID)</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Mann-Kendall (cost)</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τ=−1.0</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0.009</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Declining cost trend</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Chi-square (dx×region)</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χ²=4,557</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&lt;0.001</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Diagnosis mix differs by region</w:t>
            </w:r>
          </w:p>
        </w:tc>
      </w:tr>
      <w:tr>
        <w:tc>
          <w:tcPr>
            <w:tcW w:type="dxa" w:w="2500"/>
            <w:tcBorders>
              <w:top w:val="single" w:color="000000" w:sz="1"/>
              <w:left w:val="none"/>
              <w:bottom w:val="single" w:color="000000" w:sz="1"/>
              <w:right w:val="none"/>
            </w:tcBorders>
            <w:shd w:fill="FFFFFF" w:val="clear"/>
            <w:vAlign w:val="center"/>
          </w:tcPr>
          <w:p>
            <w:pPr>
              <w:spacing w:before="40" w:after="40" w:line="276"/>
              <w:jc w:val="left"/>
            </w:pPr>
            <w:r>
              <w:rPr>
                <w:rFonts w:ascii="Times New Roman" w:cs="Times New Roman" w:eastAsia="Times New Roman" w:hAnsi="Times New Roman"/>
                <w:sz w:val="20"/>
                <w:szCs w:val="20"/>
              </w:rPr>
              <w:t xml:space="preserve">Spearman (rate vs spec.)</w:t>
            </w:r>
          </w:p>
        </w:tc>
        <w:tc>
          <w:tcPr>
            <w:tcW w:type="dxa" w:w="2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ρ=0.74</w:t>
            </w:r>
          </w:p>
        </w:tc>
        <w:tc>
          <w:tcPr>
            <w:tcW w:type="dxa" w:w="100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&lt;0.001</w:t>
            </w:r>
          </w:p>
        </w:tc>
        <w:tc>
          <w:tcPr>
            <w:tcW w:type="dxa" w:w="3860"/>
            <w:tcBorders>
              <w:top w:val="single" w:color="000000" w:sz="1"/>
              <w:left w:val="none"/>
              <w:bottom w:val="single" w:color="000000" w:sz="1"/>
              <w:right w:val="none"/>
            </w:tcBorders>
            <w:shd w:fill="FFFFFF" w:val="clear"/>
            <w:vAlign w:val="center"/>
          </w:tcPr>
          <w:p>
            <w:pPr>
              <w:spacing w:before="40" w:after="40" w:line="276"/>
              <w:jc w:val="center"/>
            </w:pPr>
            <w:r>
              <w:rPr>
                <w:rFonts w:ascii="Times New Roman" w:cs="Times New Roman" w:eastAsia="Times New Roman" w:hAnsi="Times New Roman"/>
                <w:sz w:val="20"/>
                <w:szCs w:val="20"/>
              </w:rPr>
              <w:t xml:space="preserve">Supply-procedure correlation</w:t>
            </w:r>
          </w:p>
        </w:tc>
      </w:tr>
    </w:tbl>
    <w:p>
      <w:pPr>
        <w:pStyle w:val="Heading1"/>
        <w:pageBreakBefore/>
        <w:spacing w:after="120" w:line="480" w:before="240"/>
        <w:jc w:val="left"/>
      </w:pPr>
      <w:r>
        <w:rPr>
          <w:rFonts w:ascii="Arial" w:cs="Arial" w:eastAsia="Arial" w:hAnsi="Arial"/>
          <w:b/>
          <w:bCs/>
          <w:sz w:val="28"/>
          <w:szCs w:val="28"/>
        </w:rPr>
        <w:t xml:space="preserve">FIGURE LEGENDS</w:t>
      </w:r>
    </w:p>
    <w:p>
      <w:pPr>
        <w:spacing w:after="120" w:line="480"/>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Standardized Discharge Ratio (SDR) beeswarm plot for all 27 Brazilian states. Each point represents a state, plotted on a log10 y-axis. The dashed line indicates SDR=1.0 (national average). States are labeled with their two-letter abbreviations. SDR values range from 0.06 (RN) to 2.87 (PR).</w:t>
      </w:r>
    </w:p>
    <w:p>
      <w:pPr>
        <w:spacing w:after="120" w:line="480"/>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Four-panel Weinstein-style SDR beeswarm plots by diagnosis category: lumbar degenerative, cervical degenerative, trauma, and deformity. CV and IQR ratio are annotated for each panel. Note the wider spread for lumbar degenerative (CV=125.2%) compared to trauma (CV=62.4%).</w:t>
      </w:r>
    </w:p>
    <w:p>
      <w:pPr>
        <w:spacing w:after="120" w:line="480"/>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Municipality-level SDR beeswarm plot for 951 municipalities with ≥10 arthrodesis procedures. Variation is dramatically greater than at state level (CV=280.2%).</w:t>
      </w:r>
    </w:p>
    <w:p>
      <w:pPr>
        <w:spacing w:after="120" w:line="480"/>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Global Moran’s I analysis. Left panel: Moran scatter plot of SDR versus spatially lagged SDR, showing the four quadrants (HH, HL, LH, LL). Right panel: permutation distribution (9,999 permutations) with observed I=0.42 marked.</w:t>
      </w:r>
    </w:p>
    <w:p>
      <w:pPr>
        <w:spacing w:after="120" w:line="480"/>
        <w:jc w:val="both"/>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LISA cluster map of Brazilian states. Left panel: cluster classification (High-High in red, Low-Low in blue, not significant in gray). Right panel: significance map showing p-values.</w:t>
      </w:r>
    </w:p>
    <w:p>
      <w:pPr>
        <w:spacing w:after="120" w:line="480"/>
        <w:jc w:val="both"/>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sz w:val="24"/>
          <w:szCs w:val="24"/>
        </w:rPr>
        <w:t xml:space="preserve">Spearman correlation matrix heatmap for state-level variables (procedure rate, specialist density, mean age, mean cost, mortality, LOS). Significant correlations (ρ&gt;0.4, p&lt;0.05) are starred.</w:t>
      </w:r>
    </w:p>
    <w:p>
      <w:pPr>
        <w:spacing w:after="120" w:line="480"/>
        <w:jc w:val="both"/>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sz w:val="24"/>
          <w:szCs w:val="24"/>
        </w:rPr>
        <w:t xml:space="preserve">Choropleth maps of patient flow. Left panel: net flow balance per state (red=net exporter, blue=net importer). Right panel: percentage of caseload imported from other states, with Brasília (DF) highlighted at 28.8%.</w:t>
      </w:r>
    </w:p>
    <w:p>
      <w:pPr>
        <w:spacing w:after="120" w:line="480"/>
        <w:jc w:val="both"/>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sz w:val="24"/>
          <w:szCs w:val="24"/>
        </w:rPr>
        <w:t xml:space="preserve">Sankey diagram showing the top 20 inter-state patient flow corridors. Origin states (patient residence) are on the left; destination states (hospital location) are on the right. Band width is proportional to patient volume. Color indicates origin region.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Geographic Variation in Spinal Arthrodesis — Brazil SUS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2026-02-16T18:07:12.333Z</dcterms:created>
  <dcterms:modified xsi:type="dcterms:W3CDTF">2026-02-16T18:07:12.334Z</dcterms:modified>
</cp:coreProperties>
</file>

<file path=docProps/custom.xml><?xml version="1.0" encoding="utf-8"?>
<Properties xmlns="http://schemas.openxmlformats.org/officeDocument/2006/custom-properties" xmlns:vt="http://schemas.openxmlformats.org/officeDocument/2006/docPropsVTypes"/>
</file>