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>
          <w:b w:val="1"/>
          <w:bCs w:val="1"/>
          <w:color w:val="1b3a5c"/>
          <w:sz w:val="28"/>
          <w:szCs w:val="28"/>
        </w:rPr>
      </w:pPr>
      <w:r w:rsidDel="00000000" w:rsidR="00000000" w:rsidRPr="00000000">
        <w:rPr>
          <w:b w:val="1"/>
          <w:bCs w:val="1"/>
          <w:color w:val="1b3a5c"/>
          <w:sz w:val="28"/>
          <w:szCs w:val="28"/>
          <w:rtl w:val="0"/>
        </w:rPr>
        <w:t xml:space="preserve">ESMO CONGRESS 2026 -- ABSTRACT SUBMISSION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00" w:lineRule="auto"/>
        <w:jc w:val="center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Association of GLP-1 Receptor Agonist Use with Oncologic Outcomes in Breast Cancer Patients with Obesity:</w:t>
      </w:r>
    </w:p>
    <w:p w:rsidR="00000000" w:rsidDel="00000000" w:rsidP="00000000" w:rsidRDefault="00000000" w:rsidRPr="00000000" w14:paraId="00000004">
      <w:pPr>
        <w:spacing w:after="300" w:lineRule="auto"/>
        <w:jc w:val="center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A TriNetX Real-World Evidence Study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With Extended Introduction and Methods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i w:val="1"/>
          <w:iCs w:val="1"/>
          <w:color w:val="888888"/>
          <w:sz w:val="20"/>
          <w:szCs w:val="2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i w:val="1"/>
          <w:iCs w:val="1"/>
          <w:color w:val="aaaaa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center"/>
        <w:rPr>
          <w:color w:val="555555"/>
          <w:sz w:val="20"/>
          <w:szCs w:val="20"/>
        </w:rPr>
      </w:pPr>
      <w:r w:rsidDel="00000000" w:rsidR="00000000" w:rsidRPr="00000000">
        <w:rPr>
          <w:color w:val="555555"/>
          <w:sz w:val="20"/>
          <w:szCs w:val="20"/>
          <w:rtl w:val="0"/>
        </w:rPr>
        <w:t xml:space="preserve">Target: ESMO Congress 2026, Madrid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color w:val="cc0000"/>
          <w:sz w:val="20"/>
          <w:szCs w:val="20"/>
        </w:rPr>
      </w:pP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Abstract Deadline: 12 May 2026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after="180" w:before="0" w:lineRule="auto"/>
        <w:rPr>
          <w:b w:val="1"/>
          <w:bCs w:val="1"/>
          <w:color w:val="1b3a5c"/>
          <w:sz w:val="32"/>
          <w:szCs w:val="32"/>
        </w:rPr>
      </w:pPr>
      <w:bookmarkStart w:colFirst="0" w:colLast="0" w:name="_ew2i7grqcgp1" w:id="0"/>
      <w:bookmarkEnd w:id="0"/>
      <w:r w:rsidDel="00000000" w:rsidR="00000000" w:rsidRPr="00000000">
        <w:rPr>
          <w:b w:val="1"/>
          <w:bCs w:val="1"/>
          <w:color w:val="1b3a5c"/>
          <w:sz w:val="32"/>
          <w:szCs w:val="32"/>
          <w:rtl w:val="0"/>
        </w:rPr>
        <w:t xml:space="preserve">Part I: Structured Abstract (ESMO Format)</w:t>
      </w:r>
    </w:p>
    <w:p w:rsidR="00000000" w:rsidDel="00000000" w:rsidP="00000000" w:rsidRDefault="00000000" w:rsidRPr="00000000" w14:paraId="00000012">
      <w:pPr>
        <w:spacing w:after="100" w:before="60" w:line="36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Character count: 1,998 / 2,000 characters. </w:t>
      </w:r>
    </w:p>
    <w:p w:rsidR="00000000" w:rsidDel="00000000" w:rsidP="00000000" w:rsidRDefault="00000000" w:rsidRPr="00000000" w14:paraId="00000013">
      <w:pPr>
        <w:spacing w:after="100" w:before="60" w:line="360" w:lineRule="auto"/>
        <w:jc w:val="both"/>
        <w:rPr>
          <w:b w:val="1"/>
          <w:bCs w:val="1"/>
          <w:color w:val="2c5f8a"/>
          <w:sz w:val="26"/>
          <w:szCs w:val="26"/>
        </w:rPr>
      </w:pPr>
      <w:r w:rsidDel="00000000" w:rsidR="00000000" w:rsidRPr="00000000">
        <w:rPr>
          <w:b w:val="1"/>
          <w:bCs w:val="1"/>
          <w:color w:val="2c5f8a"/>
          <w:sz w:val="26"/>
          <w:szCs w:val="26"/>
          <w:rtl w:val="0"/>
        </w:rPr>
        <w:t xml:space="preserve">Background</w:t>
      </w:r>
    </w:p>
    <w:p w:rsidR="00000000" w:rsidDel="00000000" w:rsidP="00000000" w:rsidRDefault="00000000" w:rsidRPr="00000000" w14:paraId="00000014">
      <w:pPr>
        <w:spacing w:after="10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Obesity confers 1.63-fold increased breast cancer (BC) mortality. GLP-1 receptor agonists (GLP-1RAs) reduce BC incidence (HR 0.72 at 5 years; TriNetX, Cancers 2024); SABCS 2025 data show 46% lower all-cause mortality in BC patients and, among DCIS patients, 74% lower invasive/metastatic progression (HR 0.36; 5-year OS 93.5% vs 85.7%). Preclinical evidence supports immune reprogramming (CD8+ T-cell expansion, macrophage polarization). RCTs (FITWISE, TRIM-EBC) are years from reporting. No large study has examined GLP-1RA impact on outcomes in diagnosed BC -- an unmet need.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140" w:before="280" w:lineRule="auto"/>
        <w:rPr>
          <w:b w:val="1"/>
          <w:bCs w:val="1"/>
          <w:color w:val="2c5f8a"/>
          <w:sz w:val="26"/>
          <w:szCs w:val="26"/>
        </w:rPr>
      </w:pPr>
      <w:bookmarkStart w:colFirst="0" w:colLast="0" w:name="_svx16bsesm7r" w:id="1"/>
      <w:bookmarkEnd w:id="1"/>
      <w:r w:rsidDel="00000000" w:rsidR="00000000" w:rsidRPr="00000000">
        <w:rPr>
          <w:b w:val="1"/>
          <w:bCs w:val="1"/>
          <w:color w:val="2c5f8a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16">
      <w:pPr>
        <w:spacing w:after="10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Retrospective cohort study, TriNetX US Collaborative Network (&gt;93 million patients). Cohort 1: adult women with incident BC (ICD-10 C50.x), obesity (BMI&gt;=30/E66.x/Z68.30-Z68.45), and GLP-1RA prescription (semaglutide, tirzepatide, liraglutide, dulaglutide, exenatide) within 12 months of diagnosis. Cohort 2: propensity-score matched (PSM) BC+obesity controls without GLP-1RA. PSM covariates: age, race/ethnicity, AJCC stage, receptor subtype (HR+/HER2-, HER2+, TNBC), Charlson Comorbidity Index, diabetes, metformin use, BMI, smoking. Target trial emulation applied; proportional hazards verified by Grambsch-Therneau test. Primary endpoints: OS, time to second-line therapy. Secondary: chemotherapy completion, cardiovascular events, weight change. Minimum follow-up 2 years; ESMO-GROW compliant.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40" w:before="280" w:lineRule="auto"/>
        <w:rPr>
          <w:b w:val="1"/>
          <w:bCs w:val="1"/>
          <w:color w:val="2c5f8a"/>
          <w:sz w:val="26"/>
          <w:szCs w:val="26"/>
        </w:rPr>
      </w:pPr>
      <w:bookmarkStart w:colFirst="0" w:colLast="0" w:name="_yvn623nun6a7" w:id="2"/>
      <w:bookmarkEnd w:id="2"/>
      <w:r w:rsidDel="00000000" w:rsidR="00000000" w:rsidRPr="00000000">
        <w:rPr>
          <w:b w:val="1"/>
          <w:bCs w:val="1"/>
          <w:color w:val="2c5f8a"/>
          <w:sz w:val="26"/>
          <w:szCs w:val="26"/>
          <w:rtl w:val="0"/>
        </w:rPr>
        <w:t xml:space="preserve">Results</w:t>
      </w:r>
    </w:p>
    <w:p w:rsidR="00000000" w:rsidDel="00000000" w:rsidP="00000000" w:rsidRDefault="00000000" w:rsidRPr="00000000" w14:paraId="00000018">
      <w:pPr>
        <w:spacing w:after="10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After PSM, [N] matched pairs achieved covariate balance (SMD&lt;0.1). Primary outcomes: OS HR [X.XX] (95%CI [X.XX-X.XX]; p=[X]); time to second-line therapy HR [X.XX] (95%CI [X.XX-X.XX]). Secondary outcomes: chemotherapy completion [X]% vs [X]%; cardiovascular events [X]% vs [X]%; weight change [X] kg. Subgroup analyses by receptor subtype and BMI category pending.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00" w:before="6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1: Primary and secondary outcomes after PSM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1335"/>
        <w:gridCol w:w="1365"/>
        <w:gridCol w:w="2235"/>
        <w:gridCol w:w="1560"/>
        <w:tblGridChange w:id="0">
          <w:tblGrid>
            <w:gridCol w:w="2400"/>
            <w:gridCol w:w="1335"/>
            <w:gridCol w:w="1365"/>
            <w:gridCol w:w="2235"/>
            <w:gridCol w:w="1560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bbbbb" w:space="0" w:sz="6" w:val="single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d5e8f0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before="40" w:lineRule="auto"/>
              <w:jc w:val="center"/>
              <w:rPr>
                <w:b w:val="1"/>
                <w:bCs w:val="1"/>
                <w:color w:val="1b3a5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Outcome</w:t>
            </w:r>
          </w:p>
        </w:tc>
        <w:tc>
          <w:tcPr>
            <w:tcBorders>
              <w:top w:color="bbbbbb" w:space="0" w:sz="6" w:val="single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d5e8f0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center"/>
              <w:rPr>
                <w:b w:val="1"/>
                <w:bCs w:val="1"/>
                <w:color w:val="1b3a5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GLP-1RA</w:t>
            </w:r>
          </w:p>
        </w:tc>
        <w:tc>
          <w:tcPr>
            <w:tcBorders>
              <w:top w:color="bbbbbb" w:space="0" w:sz="6" w:val="single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d5e8f0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before="40" w:lineRule="auto"/>
              <w:jc w:val="center"/>
              <w:rPr>
                <w:b w:val="1"/>
                <w:bCs w:val="1"/>
                <w:color w:val="1b3a5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Control</w:t>
            </w:r>
          </w:p>
        </w:tc>
        <w:tc>
          <w:tcPr>
            <w:tcBorders>
              <w:top w:color="bbbbbb" w:space="0" w:sz="6" w:val="single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d5e8f0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center"/>
              <w:rPr>
                <w:b w:val="1"/>
                <w:bCs w:val="1"/>
                <w:color w:val="1b3a5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HR (95% CI)</w:t>
            </w:r>
          </w:p>
        </w:tc>
        <w:tc>
          <w:tcPr>
            <w:tcBorders>
              <w:top w:color="bbbbbb" w:space="0" w:sz="6" w:val="single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d5e8f0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before="40" w:lineRule="auto"/>
              <w:jc w:val="center"/>
              <w:rPr>
                <w:b w:val="1"/>
                <w:bCs w:val="1"/>
                <w:color w:val="1b3a5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b3a5c"/>
                <w:sz w:val="20"/>
                <w:szCs w:val="20"/>
                <w:rtl w:val="0"/>
              </w:rPr>
              <w:t xml:space="preserve">p-value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Overall survival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[X.XX (X.XX-X.XX)]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0f6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to 2nd-line therapy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f0f6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f0f6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f0f6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[X.XX (X.XX-X.XX)]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f0f6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Chemotherapy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shd w:fill="f0f6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Cardiovascular 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f0f6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f0f6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f0f6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shd w:fill="f0f6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bbbbbb" w:space="0" w:sz="6" w:val="single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Weight change (mean, kg)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bbbbb" w:space="0" w:sz="6" w:val="single"/>
              <w:right w:color="bbbbbb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before="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[X]</w:t>
            </w:r>
          </w:p>
        </w:tc>
      </w:tr>
    </w:tbl>
    <w:p w:rsidR="00000000" w:rsidDel="00000000" w:rsidP="00000000" w:rsidRDefault="00000000" w:rsidRPr="00000000" w14:paraId="00000039">
      <w:pPr>
        <w:spacing w:after="100" w:before="60" w:line="360" w:lineRule="auto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All values are placeholders pending data extraction.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140" w:before="280" w:lineRule="auto"/>
        <w:rPr>
          <w:b w:val="1"/>
          <w:bCs w:val="1"/>
          <w:color w:val="2c5f8a"/>
          <w:sz w:val="26"/>
          <w:szCs w:val="26"/>
        </w:rPr>
      </w:pPr>
      <w:bookmarkStart w:colFirst="0" w:colLast="0" w:name="_l2iy7g98a3in" w:id="3"/>
      <w:bookmarkEnd w:id="3"/>
      <w:r w:rsidDel="00000000" w:rsidR="00000000" w:rsidRPr="00000000">
        <w:rPr>
          <w:b w:val="1"/>
          <w:bCs w:val="1"/>
          <w:color w:val="2c5f8a"/>
          <w:sz w:val="26"/>
          <w:szCs w:val="26"/>
          <w:rtl w:val="0"/>
        </w:rPr>
        <w:t xml:space="preserve">Conclusions</w:t>
      </w:r>
    </w:p>
    <w:p w:rsidR="00000000" w:rsidDel="00000000" w:rsidP="00000000" w:rsidRDefault="00000000" w:rsidRPr="00000000" w14:paraId="0000003B">
      <w:pPr>
        <w:spacing w:after="100" w:before="60" w:line="360" w:lineRule="auto"/>
        <w:jc w:val="both"/>
        <w:rPr/>
      </w:pPr>
      <w:r w:rsidDel="00000000" w:rsidR="00000000" w:rsidRPr="00000000">
        <w:rPr>
          <w:rtl w:val="0"/>
        </w:rPr>
        <w:t xml:space="preserve">GLP-1RA use was associated with [direction of] oncologic outcomes in obese BC patients in this hypothesis-generating real-world analysis. Findings complement SABCS 2025 data and support immune-metabolic mechanisms beyond weight reduction. These results contextualize FITWISE and TRIM-EBC and support integrating GLP-1RAs into BC weight-management strategies.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