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  <w:highlight w:val="yellow"/>
        </w:rPr>
      </w:pPr>
      <w:bookmarkStart w:colFirst="0" w:colLast="0" w:name="_mvalg8tnmil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BRAF/MEK Inhibitor Combination Therapy in BRAF V600-Mutated Melanoma with Brain Metastases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Question (PICO):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patients with BRAF V600-mutated melanoma and brain metastases (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), what is the intracranial progression-free survival (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) with BRAF/MEK inhibitor combination therapy (dabrafenib/trametinib, encorafenib/binimetinib, vemurafenib/cobimetinib) 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 compared to outcomes in patients without brain metastases (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Relevance: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Brain metastases develop in 60% of stage IV melanoma patients and represent a major cause of morbidity.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 The COMBI-MB trial demonstrated intracranial response rates of 44-59% with dabrafenib/trametinib in BRAF V600-mutated melanoma brain metastases, but median duration of response was shorter (6.5 months) than in patients without brain metastases (12 months).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Recent data suggest encorafenib/binimetinib may have similar activity, and combination with immunotherapy shows promise.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[30]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  <w:t xml:space="preserve"> However, the relative efficacy of different BRAF/MEK combinations in brain metastases remains unclear.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Studies for Inclusion: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 COMBI-MB trial (dabrafenib/trametinib, multiple cohorts)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 COMBI-d, COMBI-v (dabrafenib/trametinib, brain metastases subgroups)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 Real-world studies of encorafenib/binimetinib in brain metastases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COLUMBUS trial (encorafenib/binimetinib, brain metastases subgroup)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coBRIM trial (vemurafenib/cobimetinib, brain metastases subgroup)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of Meta-Analysis: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Treatment effect meta-analysis comparing intracranial PFS, intracranial ORR, and duration of response across BRAF/MEK combinations in brain metastases cohorts, with comparison to outcomes in non-brain metastases populations.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etings.asco.org/abstracts-presentations/244151" TargetMode="External"/><Relationship Id="rId10" Type="http://schemas.openxmlformats.org/officeDocument/2006/relationships/hyperlink" Target="https://pubmed.ncbi.nlm.nih.gov/40411977" TargetMode="External"/><Relationship Id="rId13" Type="http://schemas.openxmlformats.org/officeDocument/2006/relationships/hyperlink" Target="https://pubmed.ncbi.nlm.nih.gov/28592387" TargetMode="External"/><Relationship Id="rId12" Type="http://schemas.openxmlformats.org/officeDocument/2006/relationships/hyperlink" Target="https://pubmed.ncbi.nlm.nih.gov/404494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med.ncbi.nlm.nih.gov/31658370" TargetMode="External"/><Relationship Id="rId15" Type="http://schemas.openxmlformats.org/officeDocument/2006/relationships/hyperlink" Target="https://pubmed.ncbi.nlm.nih.gov/31658370" TargetMode="External"/><Relationship Id="rId14" Type="http://schemas.openxmlformats.org/officeDocument/2006/relationships/hyperlink" Target="https://pubmed.ncbi.nlm.nih.gov/28592387" TargetMode="External"/><Relationship Id="rId16" Type="http://schemas.openxmlformats.org/officeDocument/2006/relationships/hyperlink" Target="https://pubmed.ncbi.nlm.nih.gov/40411977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med.ncbi.nlm.nih.gov/28592387" TargetMode="External"/><Relationship Id="rId7" Type="http://schemas.openxmlformats.org/officeDocument/2006/relationships/hyperlink" Target="https://pubmed.ncbi.nlm.nih.gov/31658370" TargetMode="External"/><Relationship Id="rId8" Type="http://schemas.openxmlformats.org/officeDocument/2006/relationships/hyperlink" Target="https://pubmed.ncbi.nlm.nih.gov/28592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