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7FDD" w:rsidRDefault="00E4422C">
      <w:pPr>
        <w:pBdr>
          <w:top w:val="nil"/>
          <w:left w:val="nil"/>
          <w:bottom w:val="nil"/>
          <w:right w:val="nil"/>
          <w:between w:val="nil"/>
        </w:pBdr>
        <w:spacing w:before="240"/>
        <w:ind w:firstLine="397"/>
        <w:jc w:val="center"/>
        <w:rPr>
          <w:b/>
          <w:color w:val="000000"/>
          <w:sz w:val="32"/>
          <w:szCs w:val="32"/>
        </w:rPr>
      </w:pPr>
      <w:r>
        <w:rPr>
          <w:b/>
          <w:color w:val="000000"/>
          <w:sz w:val="32"/>
          <w:szCs w:val="32"/>
        </w:rPr>
        <w:t xml:space="preserve">Modelo Matemático </w:t>
      </w:r>
      <w:r>
        <w:rPr>
          <w:b/>
          <w:sz w:val="32"/>
          <w:szCs w:val="32"/>
        </w:rPr>
        <w:t>O</w:t>
      </w:r>
      <w:r>
        <w:rPr>
          <w:b/>
          <w:color w:val="000000"/>
          <w:sz w:val="32"/>
          <w:szCs w:val="32"/>
        </w:rPr>
        <w:t xml:space="preserve">timizado de </w:t>
      </w:r>
      <w:r>
        <w:rPr>
          <w:b/>
          <w:sz w:val="32"/>
          <w:szCs w:val="32"/>
        </w:rPr>
        <w:t>S</w:t>
      </w:r>
      <w:r>
        <w:rPr>
          <w:b/>
          <w:color w:val="000000"/>
          <w:sz w:val="32"/>
          <w:szCs w:val="32"/>
        </w:rPr>
        <w:t xml:space="preserve">eleção de </w:t>
      </w:r>
      <w:r>
        <w:rPr>
          <w:b/>
          <w:sz w:val="32"/>
          <w:szCs w:val="32"/>
        </w:rPr>
        <w:t>M</w:t>
      </w:r>
      <w:r>
        <w:rPr>
          <w:b/>
          <w:color w:val="000000"/>
          <w:sz w:val="32"/>
          <w:szCs w:val="32"/>
        </w:rPr>
        <w:t xml:space="preserve">atérias </w:t>
      </w:r>
    </w:p>
    <w:p w:rsidR="00E47FDD" w:rsidRDefault="00E4422C">
      <w:pPr>
        <w:pBdr>
          <w:top w:val="nil"/>
          <w:left w:val="nil"/>
          <w:bottom w:val="nil"/>
          <w:right w:val="nil"/>
          <w:between w:val="nil"/>
        </w:pBdr>
        <w:spacing w:before="240"/>
        <w:jc w:val="center"/>
        <w:rPr>
          <w:b/>
          <w:color w:val="000000"/>
        </w:rPr>
      </w:pPr>
      <w:r>
        <w:rPr>
          <w:b/>
          <w:color w:val="000000"/>
        </w:rPr>
        <w:t>Lorena Couto C. Melo</w:t>
      </w:r>
      <w:r>
        <w:rPr>
          <w:b/>
          <w:color w:val="000000"/>
          <w:vertAlign w:val="superscript"/>
        </w:rPr>
        <w:t>1</w:t>
      </w:r>
      <w:r w:rsidR="0070633F">
        <w:rPr>
          <w:b/>
          <w:color w:val="000000"/>
        </w:rPr>
        <w:t xml:space="preserve">, </w:t>
      </w:r>
      <w:r>
        <w:rPr>
          <w:b/>
          <w:color w:val="000000"/>
        </w:rPr>
        <w:t>Matheus Santana</w:t>
      </w:r>
      <w:r>
        <w:rPr>
          <w:b/>
          <w:color w:val="000000"/>
          <w:vertAlign w:val="superscript"/>
        </w:rPr>
        <w:t>2</w:t>
      </w:r>
      <w:r>
        <w:rPr>
          <w:b/>
          <w:color w:val="000000"/>
        </w:rPr>
        <w:t>, Marcos Vinicio</w:t>
      </w:r>
      <w:r>
        <w:rPr>
          <w:b/>
          <w:color w:val="000000"/>
          <w:vertAlign w:val="superscript"/>
        </w:rPr>
        <w:t>3</w:t>
      </w:r>
    </w:p>
    <w:p w:rsidR="00E47FDD" w:rsidRDefault="00E4422C">
      <w:pPr>
        <w:spacing w:before="240"/>
        <w:jc w:val="center"/>
        <w:rPr>
          <w:color w:val="000000"/>
        </w:rPr>
      </w:pPr>
      <w:r>
        <w:rPr>
          <w:vertAlign w:val="superscript"/>
        </w:rPr>
        <w:t>1</w:t>
      </w:r>
      <w:r>
        <w:t>Departamento de Ciência da Computação – Universidade Federal de Ouro Preto (UFOP)</w:t>
      </w:r>
      <w:r>
        <w:br/>
        <w:t xml:space="preserve"> Ouro Preto – MG – Brasil</w:t>
      </w:r>
    </w:p>
    <w:p w:rsidR="00E47FDD" w:rsidRDefault="00E4422C">
      <w:pPr>
        <w:pBdr>
          <w:top w:val="nil"/>
          <w:left w:val="nil"/>
          <w:bottom w:val="nil"/>
          <w:right w:val="nil"/>
          <w:between w:val="nil"/>
        </w:pBdr>
        <w:spacing w:after="120"/>
        <w:jc w:val="center"/>
        <w:rPr>
          <w:rFonts w:ascii="Courier New" w:eastAsia="Courier New" w:hAnsi="Courier New" w:cs="Courier New"/>
          <w:color w:val="000000"/>
          <w:sz w:val="20"/>
          <w:szCs w:val="20"/>
        </w:rPr>
        <w:sectPr w:rsidR="00E47FDD">
          <w:headerReference w:type="even" r:id="rId8"/>
          <w:headerReference w:type="default" r:id="rId9"/>
          <w:footerReference w:type="even" r:id="rId10"/>
          <w:footerReference w:type="first" r:id="rId11"/>
          <w:pgSz w:w="11907" w:h="16840"/>
          <w:pgMar w:top="1985" w:right="1701" w:bottom="1418" w:left="1701" w:header="964" w:footer="964" w:gutter="0"/>
          <w:pgNumType w:start="101"/>
          <w:cols w:space="720"/>
        </w:sectPr>
      </w:pPr>
      <w:r>
        <w:rPr>
          <w:rFonts w:ascii="Courier New" w:eastAsia="Courier New" w:hAnsi="Courier New" w:cs="Courier New"/>
          <w:sz w:val="20"/>
          <w:szCs w:val="20"/>
        </w:rPr>
        <w:t>matheus.spc@aluno.ufop.edu.br</w:t>
      </w:r>
      <w:r>
        <w:rPr>
          <w:rFonts w:ascii="Courier New" w:eastAsia="Courier New" w:hAnsi="Courier New" w:cs="Courier New"/>
          <w:color w:val="000000"/>
          <w:sz w:val="20"/>
          <w:szCs w:val="20"/>
        </w:rPr>
        <w:t xml:space="preserve">, </w:t>
      </w:r>
      <w:r>
        <w:rPr>
          <w:rFonts w:ascii="Courier New" w:eastAsia="Courier New" w:hAnsi="Courier New" w:cs="Courier New"/>
          <w:sz w:val="20"/>
          <w:szCs w:val="20"/>
        </w:rPr>
        <w:t>marcos.euzebio@aluno.ufop.edu.br</w:t>
      </w:r>
      <w:r>
        <w:rPr>
          <w:rFonts w:ascii="Courier New" w:eastAsia="Courier New" w:hAnsi="Courier New" w:cs="Courier New"/>
          <w:color w:val="000000"/>
          <w:sz w:val="20"/>
          <w:szCs w:val="20"/>
        </w:rPr>
        <w:t xml:space="preserve">, </w:t>
      </w:r>
      <w:r>
        <w:rPr>
          <w:rFonts w:ascii="Courier New" w:eastAsia="Courier New" w:hAnsi="Courier New" w:cs="Courier New"/>
          <w:sz w:val="20"/>
          <w:szCs w:val="20"/>
        </w:rPr>
        <w:t>lorena.melo@aluno.ufop.edu.br</w:t>
      </w:r>
    </w:p>
    <w:p w:rsidR="00E47FDD" w:rsidRDefault="00E4422C">
      <w:pPr>
        <w:pBdr>
          <w:top w:val="nil"/>
          <w:left w:val="nil"/>
          <w:bottom w:val="nil"/>
          <w:right w:val="nil"/>
          <w:between w:val="nil"/>
        </w:pBdr>
        <w:spacing w:after="120"/>
        <w:ind w:left="454" w:right="454"/>
        <w:rPr>
          <w:i/>
          <w:color w:val="000000"/>
        </w:rPr>
      </w:pPr>
      <w:r>
        <w:rPr>
          <w:b/>
          <w:i/>
          <w:color w:val="000000"/>
        </w:rPr>
        <w:lastRenderedPageBreak/>
        <w:t>Abstr</w:t>
      </w:r>
      <w:r>
        <w:rPr>
          <w:b/>
          <w:i/>
        </w:rPr>
        <w:t>ato</w:t>
      </w:r>
      <w:r>
        <w:rPr>
          <w:b/>
          <w:i/>
          <w:color w:val="000000"/>
        </w:rPr>
        <w:t>.</w:t>
      </w:r>
      <w:r>
        <w:rPr>
          <w:i/>
          <w:color w:val="000000"/>
        </w:rPr>
        <w:t xml:space="preserve"> </w:t>
      </w:r>
      <w:r>
        <w:rPr>
          <w:i/>
        </w:rPr>
        <w:t>Este artigo descreve um modelo matemático para seleção de matérias primas para a sinterização em uma siderúrgica</w:t>
      </w:r>
      <w:r>
        <w:rPr>
          <w:i/>
          <w:color w:val="000000"/>
        </w:rPr>
        <w:t xml:space="preserve">. </w:t>
      </w:r>
      <w:r>
        <w:rPr>
          <w:i/>
        </w:rPr>
        <w:t>O principal foco do artigo alvo, segundo Raimundo et al. (2024), é aprimorar o tempo de produção e a qualidade do sínter produzido.</w:t>
      </w:r>
    </w:p>
    <w:p w:rsidR="00E47FDD" w:rsidRDefault="00E4422C">
      <w:pPr>
        <w:pBdr>
          <w:top w:val="nil"/>
          <w:left w:val="nil"/>
          <w:bottom w:val="nil"/>
          <w:right w:val="nil"/>
          <w:between w:val="nil"/>
        </w:pBdr>
        <w:spacing w:after="120"/>
        <w:ind w:left="454" w:right="454"/>
        <w:rPr>
          <w:color w:val="202122"/>
          <w:highlight w:val="white"/>
        </w:rPr>
      </w:pPr>
      <w:r>
        <w:rPr>
          <w:b/>
          <w:i/>
          <w:color w:val="000000"/>
        </w:rPr>
        <w:t>Resumo.</w:t>
      </w:r>
      <w:r>
        <w:rPr>
          <w:i/>
          <w:color w:val="000000"/>
        </w:rPr>
        <w:t xml:space="preserve"> </w:t>
      </w:r>
      <w:r>
        <w:rPr>
          <w:i/>
        </w:rPr>
        <w:t xml:space="preserve">O texto busca em seu conjunto reduzir a soma de inconsistências químicas dos componentes de cada pacote, ou seja, refinar a seleção de matérias primas nas siderúrgicas para a produção do </w:t>
      </w:r>
      <w:r w:rsidR="0070633F">
        <w:rPr>
          <w:i/>
        </w:rPr>
        <w:t>sínter</w:t>
      </w:r>
      <w:r>
        <w:rPr>
          <w:i/>
        </w:rPr>
        <w:t xml:space="preserve">, fruto da sinterização. Para isso foi desenvolvido um modelo matemático otimizado binário no </w:t>
      </w:r>
      <w:r>
        <w:rPr>
          <w:color w:val="202122"/>
          <w:highlight w:val="white"/>
        </w:rPr>
        <w:t>IBM ILOG CPLEX Optimization Studio.</w:t>
      </w:r>
    </w:p>
    <w:p w:rsidR="00E47FDD" w:rsidRDefault="00E47FDD">
      <w:pPr>
        <w:pBdr>
          <w:top w:val="nil"/>
          <w:left w:val="nil"/>
          <w:bottom w:val="nil"/>
          <w:right w:val="nil"/>
          <w:between w:val="nil"/>
        </w:pBdr>
        <w:spacing w:after="120"/>
        <w:ind w:right="454"/>
        <w:rPr>
          <w:color w:val="202122"/>
          <w:highlight w:val="white"/>
        </w:rPr>
      </w:pPr>
    </w:p>
    <w:p w:rsidR="00E47FDD" w:rsidRDefault="00E4422C">
      <w:pPr>
        <w:pBdr>
          <w:top w:val="nil"/>
          <w:left w:val="nil"/>
          <w:bottom w:val="nil"/>
          <w:right w:val="nil"/>
          <w:between w:val="nil"/>
        </w:pBdr>
        <w:spacing w:after="120"/>
        <w:ind w:right="454"/>
        <w:rPr>
          <w:b/>
          <w:color w:val="202122"/>
          <w:highlight w:val="white"/>
        </w:rPr>
      </w:pPr>
      <w:r>
        <w:rPr>
          <w:b/>
          <w:color w:val="202122"/>
          <w:highlight w:val="white"/>
        </w:rPr>
        <w:t>PALAVRAS CHAVE. Otimização, Desvio padrão, Sinterização.</w:t>
      </w:r>
    </w:p>
    <w:p w:rsidR="00E47FDD" w:rsidRDefault="00E47FDD">
      <w:pPr>
        <w:pBdr>
          <w:top w:val="nil"/>
          <w:left w:val="nil"/>
          <w:bottom w:val="nil"/>
          <w:right w:val="nil"/>
          <w:between w:val="nil"/>
        </w:pBdr>
        <w:spacing w:after="120"/>
        <w:ind w:right="454"/>
        <w:rPr>
          <w:i/>
        </w:rPr>
      </w:pPr>
    </w:p>
    <w:p w:rsidR="00E47FDD" w:rsidRDefault="00E4422C">
      <w:pPr>
        <w:keepNext/>
        <w:pBdr>
          <w:top w:val="nil"/>
          <w:left w:val="nil"/>
          <w:bottom w:val="nil"/>
          <w:right w:val="nil"/>
          <w:between w:val="nil"/>
        </w:pBdr>
        <w:spacing w:before="240"/>
        <w:jc w:val="left"/>
        <w:rPr>
          <w:b/>
          <w:color w:val="000000"/>
          <w:sz w:val="26"/>
          <w:szCs w:val="26"/>
        </w:rPr>
      </w:pPr>
      <w:r>
        <w:rPr>
          <w:b/>
          <w:color w:val="000000"/>
          <w:sz w:val="26"/>
          <w:szCs w:val="26"/>
        </w:rPr>
        <w:t xml:space="preserve">1. </w:t>
      </w:r>
      <w:r>
        <w:rPr>
          <w:b/>
          <w:sz w:val="26"/>
          <w:szCs w:val="26"/>
        </w:rPr>
        <w:t>Entendimento do Problema</w:t>
      </w:r>
    </w:p>
    <w:p w:rsidR="00E47FDD" w:rsidRDefault="00E4422C">
      <w:r>
        <w:tab/>
        <w:t>O problema central reside na produção do sínter, um produto do processo de sinterização de matérias-primas em siderúrgicas. Nesse processo, partículas sólidas são separadas, inseridas na máquina, compactadas no formato desejado e submetidas a altas temperaturas (sempre abaixo do ponto de fusão). Essa etapa modifica o material sem alterar seu estado físico, resultando em sua solidificação.</w:t>
      </w:r>
    </w:p>
    <w:p w:rsidR="00E47FDD" w:rsidRDefault="00E4422C">
      <w:r>
        <w:tab/>
        <w:t>Este estudo visa aprimorar o desenvolvimento do sínter por meio da otimização do processo de blendagem. A blendagem, que consiste na seleção da quantidade de matéria-prima a ser inserida em cada pacote, frequentemente resulta na perda de qualidade do produto. Além disso, consome uma quantidade significativa de tempo do programador, que realiza adaptações constantes no sistema em busca de uma combinação viável para a fabricação do sínter.</w:t>
      </w:r>
      <w:r>
        <w:rPr>
          <w:noProof/>
        </w:rPr>
        <w:drawing>
          <wp:anchor distT="114300" distB="114300" distL="114300" distR="114300" simplePos="0" relativeHeight="251658240" behindDoc="0" locked="0" layoutInCell="1" hidden="0" allowOverlap="1">
            <wp:simplePos x="0" y="0"/>
            <wp:positionH relativeFrom="column">
              <wp:posOffset>1647352</wp:posOffset>
            </wp:positionH>
            <wp:positionV relativeFrom="paragraph">
              <wp:posOffset>1257300</wp:posOffset>
            </wp:positionV>
            <wp:extent cx="2108717" cy="1450299"/>
            <wp:effectExtent l="0" t="0" r="0" b="0"/>
            <wp:wrapNone/>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t="1992"/>
                    <a:stretch>
                      <a:fillRect/>
                    </a:stretch>
                  </pic:blipFill>
                  <pic:spPr>
                    <a:xfrm>
                      <a:off x="0" y="0"/>
                      <a:ext cx="2108717" cy="1450299"/>
                    </a:xfrm>
                    <a:prstGeom prst="rect">
                      <a:avLst/>
                    </a:prstGeom>
                    <a:ln/>
                  </pic:spPr>
                </pic:pic>
              </a:graphicData>
            </a:graphic>
          </wp:anchor>
        </w:drawing>
      </w:r>
    </w:p>
    <w:p w:rsidR="00E47FDD" w:rsidRDefault="00E47FDD"/>
    <w:p w:rsidR="00E47FDD" w:rsidRDefault="00E47FDD">
      <w:pPr>
        <w:jc w:val="center"/>
      </w:pPr>
    </w:p>
    <w:p w:rsidR="00E47FDD" w:rsidRDefault="00E47FDD">
      <w:pPr>
        <w:jc w:val="center"/>
      </w:pPr>
    </w:p>
    <w:p w:rsidR="00E47FDD" w:rsidRDefault="00E47FDD">
      <w:pPr>
        <w:jc w:val="center"/>
      </w:pPr>
    </w:p>
    <w:p w:rsidR="00E47FDD" w:rsidRDefault="00E47FDD">
      <w:pPr>
        <w:jc w:val="center"/>
      </w:pPr>
    </w:p>
    <w:p w:rsidR="00E47FDD" w:rsidRDefault="00E47FDD">
      <w:pPr>
        <w:jc w:val="center"/>
      </w:pPr>
    </w:p>
    <w:p w:rsidR="00E47FDD" w:rsidRDefault="00E4422C">
      <w:pPr>
        <w:spacing w:after="120"/>
        <w:ind w:right="454"/>
        <w:jc w:val="center"/>
      </w:pPr>
      <w:r>
        <w:rPr>
          <w:rFonts w:ascii="Helvetica Neue" w:eastAsia="Helvetica Neue" w:hAnsi="Helvetica Neue" w:cs="Helvetica Neue"/>
          <w:b/>
          <w:sz w:val="20"/>
          <w:szCs w:val="20"/>
        </w:rPr>
        <w:t xml:space="preserve">Figura 1. </w:t>
      </w:r>
      <w:r w:rsidR="0070633F">
        <w:rPr>
          <w:rFonts w:ascii="Helvetica Neue" w:eastAsia="Helvetica Neue" w:hAnsi="Helvetica Neue" w:cs="Helvetica Neue"/>
          <w:sz w:val="20"/>
          <w:szCs w:val="20"/>
        </w:rPr>
        <w:t>Ilustração</w:t>
      </w:r>
      <w:r>
        <w:rPr>
          <w:rFonts w:ascii="Helvetica Neue" w:eastAsia="Helvetica Neue" w:hAnsi="Helvetica Neue" w:cs="Helvetica Neue"/>
          <w:sz w:val="20"/>
          <w:szCs w:val="20"/>
        </w:rPr>
        <w:t xml:space="preserve"> do processo de sinterização.</w:t>
      </w:r>
    </w:p>
    <w:p w:rsidR="00E47FDD" w:rsidRDefault="00E4422C">
      <w:r>
        <w:lastRenderedPageBreak/>
        <w:tab/>
        <w:t>Para garantir uma produção eficiente, o processo de blendagem deve ser otimizado para minimizar a dispersão dos elementos químicos entre os diferentes pacotes. A falta de uniformidade na distribuição desses elementos pode comprometer a qualidade do produto final, gerando inconsistências em suas propriedades físicas e químicas. Portanto, é fundamental ajustar a etapa de blendagem para reduzir essas variações, assegurando maior homogeneidade e confiabilidade no material obtido.</w:t>
      </w:r>
    </w:p>
    <w:p w:rsidR="00E47FDD" w:rsidRDefault="00E4422C">
      <w:r>
        <w:tab/>
        <w:t xml:space="preserve">Com esse objetivo, foi utilizado um código implementado no </w:t>
      </w:r>
      <w:r>
        <w:rPr>
          <w:b/>
        </w:rPr>
        <w:t>CPLEX</w:t>
      </w:r>
      <w:r>
        <w:t xml:space="preserve">, ferramenta de programação matemática voltada à resolução de problemas de otimização. O modelo desenvolvido busca </w:t>
      </w:r>
      <w:r>
        <w:rPr>
          <w:b/>
        </w:rPr>
        <w:t>minimizar a soma dos desvios máximos</w:t>
      </w:r>
      <w:r>
        <w:t xml:space="preserve"> dos elementos químicos presentes em cada pacote, de forma a reduzir as diferenças de concentração entre eles. </w:t>
      </w:r>
    </w:p>
    <w:p w:rsidR="00E47FDD" w:rsidRDefault="00E4422C">
      <w:r>
        <w:t>Para isso, foram definidas variáveis que representam a quantidade, em quilogramas (kg), da matéria-prima {i} no pacote {j}, uma variável binária que indica se a matéria-prima {i} está ou não presente em determinado pacote, além de uma variável que quantifica o desvio máximo observado. A partir dessas definições, o CPLEX foi capaz de estruturar um vetor para cada matéria-prima, no qual sua alocação binária determina como deve ser realizada a distribuição no sistema, possibilitando alcançar um arranjo mais equilibrado e eficiente.</w:t>
      </w:r>
    </w:p>
    <w:p w:rsidR="00E47FDD" w:rsidRDefault="00E47FDD"/>
    <w:p w:rsidR="00E47FDD" w:rsidRDefault="00E4422C">
      <w:pPr>
        <w:pStyle w:val="Ttulo2"/>
        <w:spacing w:before="240"/>
        <w:jc w:val="left"/>
        <w:rPr>
          <w:sz w:val="26"/>
          <w:szCs w:val="26"/>
        </w:rPr>
      </w:pPr>
      <w:bookmarkStart w:id="0" w:name="_kkuemsuv4ydk" w:colFirst="0" w:colLast="0"/>
      <w:bookmarkEnd w:id="0"/>
      <w:r>
        <w:rPr>
          <w:sz w:val="26"/>
          <w:szCs w:val="26"/>
        </w:rPr>
        <w:t>2. Modelo Matemático</w:t>
      </w:r>
    </w:p>
    <w:p w:rsidR="00E47FDD" w:rsidRDefault="00E4422C">
      <w:r>
        <w:tab/>
      </w:r>
      <w:r w:rsidR="00DA296C" w:rsidRPr="00DA296C">
        <w:t>Antes de entrar no modelo matemático propriamente dito, faremos uma explicação dos conjuntos, parâmetros e variáveis que ele utiliza:</w:t>
      </w:r>
    </w:p>
    <w:p w:rsidR="009806DA" w:rsidRDefault="009806DA"/>
    <w:p w:rsidR="00DA296C" w:rsidRDefault="00DA296C" w:rsidP="00DA296C">
      <w:pPr>
        <w:jc w:val="center"/>
      </w:pPr>
      <w:r>
        <w:rPr>
          <w:rFonts w:ascii="Helvetica Neue" w:eastAsia="Helvetica Neue" w:hAnsi="Helvetica Neue" w:cs="Helvetica Neue"/>
          <w:b/>
          <w:sz w:val="20"/>
          <w:szCs w:val="20"/>
        </w:rPr>
        <w:t xml:space="preserve">Tabela 1. </w:t>
      </w:r>
      <w:r>
        <w:rPr>
          <w:rFonts w:ascii="Helvetica Neue" w:eastAsia="Helvetica Neue" w:hAnsi="Helvetica Neue" w:cs="Helvetica Neue"/>
          <w:sz w:val="20"/>
          <w:szCs w:val="20"/>
        </w:rPr>
        <w:t>Conjuntos.</w:t>
      </w:r>
    </w:p>
    <w:tbl>
      <w:tblPr>
        <w:tblpPr w:leftFromText="142" w:rightFromText="142" w:vertAnchor="text" w:tblpY="1"/>
        <w:tblW w:w="5000" w:type="pct"/>
        <w:tblLook w:val="0600" w:firstRow="0" w:lastRow="0" w:firstColumn="0" w:lastColumn="0" w:noHBand="1" w:noVBand="1"/>
      </w:tblPr>
      <w:tblGrid>
        <w:gridCol w:w="2929"/>
        <w:gridCol w:w="5576"/>
      </w:tblGrid>
      <w:tr w:rsidR="009806DA" w:rsidRPr="00D67C19" w:rsidTr="00DA296C">
        <w:trPr>
          <w:trHeight w:val="340"/>
        </w:trPr>
        <w:tc>
          <w:tcPr>
            <w:tcW w:w="1722" w:type="pct"/>
            <w:tcBorders>
              <w:top w:val="single" w:sz="12" w:space="0" w:color="auto"/>
              <w:bottom w:val="single" w:sz="12" w:space="0" w:color="auto"/>
            </w:tcBorders>
            <w:shd w:val="clear" w:color="auto" w:fill="auto"/>
            <w:tcMar>
              <w:top w:w="56" w:type="dxa"/>
              <w:left w:w="56" w:type="dxa"/>
              <w:bottom w:w="56" w:type="dxa"/>
              <w:right w:w="56" w:type="dxa"/>
            </w:tcMar>
            <w:vAlign w:val="center"/>
          </w:tcPr>
          <w:p w:rsidR="009806DA" w:rsidRPr="00D67C19" w:rsidRDefault="009806DA" w:rsidP="00E4422C">
            <w:pPr>
              <w:widowControl w:val="0"/>
              <w:pBdr>
                <w:top w:val="nil"/>
                <w:left w:val="nil"/>
                <w:bottom w:val="nil"/>
                <w:right w:val="nil"/>
                <w:between w:val="nil"/>
              </w:pBdr>
              <w:spacing w:before="0"/>
              <w:jc w:val="center"/>
              <w:rPr>
                <w:b/>
                <w:sz w:val="22"/>
                <w:szCs w:val="20"/>
              </w:rPr>
            </w:pPr>
            <w:r w:rsidRPr="00D67C19">
              <w:rPr>
                <w:b/>
                <w:sz w:val="22"/>
                <w:szCs w:val="20"/>
              </w:rPr>
              <w:t>Parâmetros e Variáveis</w:t>
            </w:r>
          </w:p>
        </w:tc>
        <w:tc>
          <w:tcPr>
            <w:tcW w:w="3278" w:type="pct"/>
            <w:tcBorders>
              <w:top w:val="single" w:sz="12" w:space="0" w:color="auto"/>
              <w:bottom w:val="single" w:sz="12" w:space="0" w:color="auto"/>
            </w:tcBorders>
            <w:shd w:val="clear" w:color="auto" w:fill="auto"/>
            <w:tcMar>
              <w:top w:w="56" w:type="dxa"/>
              <w:left w:w="56" w:type="dxa"/>
              <w:bottom w:w="56" w:type="dxa"/>
              <w:right w:w="56" w:type="dxa"/>
            </w:tcMar>
            <w:vAlign w:val="center"/>
          </w:tcPr>
          <w:p w:rsidR="009806DA" w:rsidRPr="00D67C19" w:rsidRDefault="009806DA" w:rsidP="00E4422C">
            <w:pPr>
              <w:widowControl w:val="0"/>
              <w:pBdr>
                <w:top w:val="nil"/>
                <w:left w:val="nil"/>
                <w:bottom w:val="nil"/>
                <w:right w:val="nil"/>
                <w:between w:val="nil"/>
              </w:pBdr>
              <w:spacing w:before="0"/>
              <w:jc w:val="center"/>
              <w:rPr>
                <w:b/>
                <w:sz w:val="22"/>
                <w:szCs w:val="20"/>
              </w:rPr>
            </w:pPr>
            <w:r w:rsidRPr="00D67C19">
              <w:rPr>
                <w:b/>
                <w:sz w:val="22"/>
                <w:szCs w:val="20"/>
              </w:rPr>
              <w:t>Descrição</w:t>
            </w:r>
          </w:p>
        </w:tc>
      </w:tr>
      <w:tr w:rsidR="009806DA" w:rsidRPr="00D67C19" w:rsidTr="00DA296C">
        <w:trPr>
          <w:trHeight w:val="340"/>
        </w:trPr>
        <w:tc>
          <w:tcPr>
            <w:tcW w:w="1722" w:type="pct"/>
            <w:tcBorders>
              <w:top w:val="single" w:sz="12" w:space="0" w:color="auto"/>
            </w:tcBorders>
            <w:shd w:val="clear" w:color="auto" w:fill="auto"/>
            <w:tcMar>
              <w:top w:w="56" w:type="dxa"/>
              <w:left w:w="56" w:type="dxa"/>
              <w:bottom w:w="56" w:type="dxa"/>
              <w:right w:w="56" w:type="dxa"/>
            </w:tcMar>
            <w:vAlign w:val="center"/>
          </w:tcPr>
          <w:p w:rsidR="009806DA" w:rsidRPr="009806DA" w:rsidRDefault="009806DA" w:rsidP="009806DA">
            <w:pPr>
              <w:widowControl w:val="0"/>
              <w:spacing w:before="0"/>
              <w:jc w:val="center"/>
              <w:rPr>
                <w:sz w:val="22"/>
                <w:szCs w:val="20"/>
              </w:rPr>
            </w:pPr>
            <m:oMathPara>
              <m:oMath>
                <m:r>
                  <w:rPr>
                    <w:rFonts w:ascii="Cambria Math" w:hAnsi="Cambria Math"/>
                    <w:sz w:val="22"/>
                    <w:szCs w:val="20"/>
                  </w:rPr>
                  <m:t>MateriasPrimas</m:t>
                </m:r>
              </m:oMath>
            </m:oMathPara>
          </w:p>
        </w:tc>
        <w:tc>
          <w:tcPr>
            <w:tcW w:w="3278" w:type="pct"/>
            <w:tcBorders>
              <w:top w:val="single" w:sz="12" w:space="0" w:color="auto"/>
            </w:tcBorders>
            <w:shd w:val="clear" w:color="auto" w:fill="auto"/>
            <w:tcMar>
              <w:top w:w="56" w:type="dxa"/>
              <w:left w:w="56" w:type="dxa"/>
              <w:bottom w:w="56" w:type="dxa"/>
              <w:right w:w="56" w:type="dxa"/>
            </w:tcMar>
            <w:vAlign w:val="center"/>
          </w:tcPr>
          <w:p w:rsidR="009806DA" w:rsidRPr="00D67C19" w:rsidRDefault="009806DA" w:rsidP="00E4422C">
            <w:pPr>
              <w:widowControl w:val="0"/>
              <w:spacing w:before="0"/>
              <w:rPr>
                <w:sz w:val="22"/>
                <w:szCs w:val="20"/>
              </w:rPr>
            </w:pPr>
            <w:r>
              <w:rPr>
                <w:sz w:val="22"/>
                <w:szCs w:val="20"/>
              </w:rPr>
              <w:t>Matérias-primas para o processo de sinterização</w:t>
            </w:r>
            <w:r w:rsidRPr="00D67C19">
              <w:rPr>
                <w:sz w:val="22"/>
                <w:szCs w:val="20"/>
              </w:rPr>
              <w:t>.</w:t>
            </w:r>
          </w:p>
        </w:tc>
      </w:tr>
      <w:tr w:rsidR="009806DA" w:rsidRPr="00FD2559" w:rsidTr="00DA296C">
        <w:trPr>
          <w:trHeight w:val="340"/>
        </w:trPr>
        <w:tc>
          <w:tcPr>
            <w:tcW w:w="1722" w:type="pct"/>
            <w:shd w:val="clear" w:color="auto" w:fill="auto"/>
            <w:tcMar>
              <w:top w:w="56" w:type="dxa"/>
              <w:left w:w="56" w:type="dxa"/>
              <w:bottom w:w="56" w:type="dxa"/>
              <w:right w:w="56" w:type="dxa"/>
            </w:tcMar>
            <w:vAlign w:val="center"/>
          </w:tcPr>
          <w:p w:rsidR="009806DA" w:rsidRPr="00D67C19" w:rsidRDefault="009806DA" w:rsidP="00E4422C">
            <w:pPr>
              <w:widowControl w:val="0"/>
              <w:spacing w:before="0"/>
              <w:jc w:val="center"/>
              <w:rPr>
                <w:sz w:val="22"/>
                <w:szCs w:val="20"/>
              </w:rPr>
            </w:pPr>
            <m:oMathPara>
              <m:oMath>
                <m:r>
                  <w:rPr>
                    <w:rFonts w:ascii="Cambria Math" w:hAnsi="Cambria Math"/>
                    <w:sz w:val="22"/>
                    <w:szCs w:val="20"/>
                  </w:rPr>
                  <m:t>Elementos</m:t>
                </m:r>
              </m:oMath>
            </m:oMathPara>
          </w:p>
        </w:tc>
        <w:tc>
          <w:tcPr>
            <w:tcW w:w="3278" w:type="pct"/>
            <w:shd w:val="clear" w:color="auto" w:fill="auto"/>
            <w:tcMar>
              <w:top w:w="56" w:type="dxa"/>
              <w:left w:w="56" w:type="dxa"/>
              <w:bottom w:w="56" w:type="dxa"/>
              <w:right w:w="56" w:type="dxa"/>
            </w:tcMar>
            <w:vAlign w:val="center"/>
          </w:tcPr>
          <w:p w:rsidR="009806DA" w:rsidRPr="00FD2559" w:rsidRDefault="009806DA" w:rsidP="00E4422C">
            <w:pPr>
              <w:widowControl w:val="0"/>
              <w:spacing w:before="0"/>
              <w:rPr>
                <w:sz w:val="22"/>
                <w:szCs w:val="20"/>
              </w:rPr>
            </w:pPr>
            <w:r>
              <w:rPr>
                <w:sz w:val="22"/>
                <w:szCs w:val="20"/>
              </w:rPr>
              <w:t>Elementos químicos para composição do sínter.</w:t>
            </w:r>
          </w:p>
        </w:tc>
      </w:tr>
      <w:tr w:rsidR="009806DA" w:rsidRPr="00D67C19" w:rsidTr="00DA296C">
        <w:trPr>
          <w:trHeight w:val="340"/>
        </w:trPr>
        <w:tc>
          <w:tcPr>
            <w:tcW w:w="1722" w:type="pct"/>
            <w:shd w:val="clear" w:color="auto" w:fill="auto"/>
            <w:tcMar>
              <w:top w:w="56" w:type="dxa"/>
              <w:left w:w="56" w:type="dxa"/>
              <w:bottom w:w="56" w:type="dxa"/>
              <w:right w:w="56" w:type="dxa"/>
            </w:tcMar>
            <w:vAlign w:val="center"/>
          </w:tcPr>
          <w:p w:rsidR="009806DA" w:rsidRPr="00D67C19" w:rsidRDefault="009806DA" w:rsidP="00E4422C">
            <w:pPr>
              <w:widowControl w:val="0"/>
              <w:pBdr>
                <w:top w:val="nil"/>
                <w:left w:val="nil"/>
                <w:bottom w:val="nil"/>
                <w:right w:val="nil"/>
                <w:between w:val="nil"/>
              </w:pBdr>
              <w:spacing w:before="0"/>
              <w:jc w:val="center"/>
              <w:rPr>
                <w:sz w:val="22"/>
                <w:szCs w:val="20"/>
              </w:rPr>
            </w:pPr>
            <m:oMathPara>
              <m:oMath>
                <m:r>
                  <w:rPr>
                    <w:rFonts w:ascii="Cambria Math" w:hAnsi="Cambria Math"/>
                    <w:sz w:val="22"/>
                    <w:szCs w:val="20"/>
                  </w:rPr>
                  <m:t>Pacotes</m:t>
                </m:r>
              </m:oMath>
            </m:oMathPara>
          </w:p>
        </w:tc>
        <w:tc>
          <w:tcPr>
            <w:tcW w:w="3278" w:type="pct"/>
            <w:shd w:val="clear" w:color="auto" w:fill="auto"/>
            <w:tcMar>
              <w:top w:w="56" w:type="dxa"/>
              <w:left w:w="56" w:type="dxa"/>
              <w:bottom w:w="56" w:type="dxa"/>
              <w:right w:w="56" w:type="dxa"/>
            </w:tcMar>
            <w:vAlign w:val="center"/>
          </w:tcPr>
          <w:p w:rsidR="009806DA" w:rsidRPr="00D67C19" w:rsidRDefault="009806DA" w:rsidP="00E4422C">
            <w:pPr>
              <w:widowControl w:val="0"/>
              <w:pBdr>
                <w:top w:val="nil"/>
                <w:left w:val="nil"/>
                <w:bottom w:val="nil"/>
                <w:right w:val="nil"/>
                <w:between w:val="nil"/>
              </w:pBdr>
              <w:spacing w:before="0"/>
              <w:rPr>
                <w:sz w:val="22"/>
                <w:szCs w:val="20"/>
              </w:rPr>
            </w:pPr>
            <w:r>
              <w:rPr>
                <w:sz w:val="22"/>
                <w:szCs w:val="20"/>
              </w:rPr>
              <w:t>Quantidade de pacotes a ser fabricados.</w:t>
            </w:r>
          </w:p>
        </w:tc>
      </w:tr>
    </w:tbl>
    <w:p w:rsidR="00DA296C" w:rsidRDefault="00DA296C"/>
    <w:p w:rsidR="009806DA" w:rsidRDefault="00DA296C" w:rsidP="00DA296C">
      <w:pPr>
        <w:jc w:val="center"/>
      </w:pPr>
      <w:r>
        <w:rPr>
          <w:rFonts w:ascii="Helvetica Neue" w:eastAsia="Helvetica Neue" w:hAnsi="Helvetica Neue" w:cs="Helvetica Neue"/>
          <w:b/>
          <w:sz w:val="20"/>
          <w:szCs w:val="20"/>
        </w:rPr>
        <w:t xml:space="preserve">Tabela 2. </w:t>
      </w:r>
      <w:r w:rsidRPr="00DA296C">
        <w:rPr>
          <w:rFonts w:ascii="Helvetica Neue" w:eastAsia="Helvetica Neue" w:hAnsi="Helvetica Neue" w:cs="Helvetica Neue"/>
          <w:sz w:val="20"/>
          <w:szCs w:val="20"/>
        </w:rPr>
        <w:t>Variáveis</w:t>
      </w:r>
      <w:r>
        <w:rPr>
          <w:rFonts w:ascii="Helvetica Neue" w:eastAsia="Helvetica Neue" w:hAnsi="Helvetica Neue" w:cs="Helvetica Neue"/>
          <w:sz w:val="20"/>
          <w:szCs w:val="20"/>
        </w:rPr>
        <w:t>.</w:t>
      </w:r>
    </w:p>
    <w:tbl>
      <w:tblPr>
        <w:tblStyle w:val="a"/>
        <w:tblpPr w:leftFromText="142" w:rightFromText="142" w:vertAnchor="text" w:tblpY="1"/>
        <w:tblW w:w="0" w:type="auto"/>
        <w:tblInd w:w="0" w:type="dxa"/>
        <w:tblLook w:val="0600" w:firstRow="0" w:lastRow="0" w:firstColumn="0" w:lastColumn="0" w:noHBand="1" w:noVBand="1"/>
      </w:tblPr>
      <w:tblGrid>
        <w:gridCol w:w="2611"/>
        <w:gridCol w:w="5894"/>
      </w:tblGrid>
      <w:tr w:rsidR="00FD2559" w:rsidTr="00381780">
        <w:trPr>
          <w:trHeight w:val="340"/>
        </w:trPr>
        <w:tc>
          <w:tcPr>
            <w:tcW w:w="0" w:type="auto"/>
            <w:tcBorders>
              <w:top w:val="single" w:sz="12" w:space="0" w:color="auto"/>
              <w:bottom w:val="single" w:sz="12" w:space="0" w:color="auto"/>
            </w:tcBorders>
            <w:shd w:val="clear" w:color="auto" w:fill="auto"/>
            <w:tcMar>
              <w:top w:w="56" w:type="dxa"/>
              <w:left w:w="56" w:type="dxa"/>
              <w:bottom w:w="56" w:type="dxa"/>
              <w:right w:w="56" w:type="dxa"/>
            </w:tcMar>
            <w:vAlign w:val="center"/>
          </w:tcPr>
          <w:p w:rsidR="00E47FDD" w:rsidRPr="00D67C19" w:rsidRDefault="00E4422C" w:rsidP="00381780">
            <w:pPr>
              <w:widowControl w:val="0"/>
              <w:pBdr>
                <w:top w:val="nil"/>
                <w:left w:val="nil"/>
                <w:bottom w:val="nil"/>
                <w:right w:val="nil"/>
                <w:between w:val="nil"/>
              </w:pBdr>
              <w:spacing w:before="0"/>
              <w:jc w:val="center"/>
              <w:rPr>
                <w:b/>
                <w:sz w:val="22"/>
                <w:szCs w:val="20"/>
              </w:rPr>
            </w:pPr>
            <w:r w:rsidRPr="00D67C19">
              <w:rPr>
                <w:b/>
                <w:sz w:val="22"/>
                <w:szCs w:val="20"/>
              </w:rPr>
              <w:t>Parâmetros e Variáveis</w:t>
            </w:r>
          </w:p>
        </w:tc>
        <w:tc>
          <w:tcPr>
            <w:tcW w:w="0" w:type="auto"/>
            <w:tcBorders>
              <w:top w:val="single" w:sz="12" w:space="0" w:color="auto"/>
              <w:bottom w:val="single" w:sz="12" w:space="0" w:color="auto"/>
            </w:tcBorders>
            <w:shd w:val="clear" w:color="auto" w:fill="auto"/>
            <w:tcMar>
              <w:top w:w="56" w:type="dxa"/>
              <w:left w:w="56" w:type="dxa"/>
              <w:bottom w:w="56" w:type="dxa"/>
              <w:right w:w="56" w:type="dxa"/>
            </w:tcMar>
            <w:vAlign w:val="center"/>
          </w:tcPr>
          <w:p w:rsidR="00E47FDD" w:rsidRPr="00D67C19" w:rsidRDefault="00E4422C" w:rsidP="00381780">
            <w:pPr>
              <w:widowControl w:val="0"/>
              <w:pBdr>
                <w:top w:val="nil"/>
                <w:left w:val="nil"/>
                <w:bottom w:val="nil"/>
                <w:right w:val="nil"/>
                <w:between w:val="nil"/>
              </w:pBdr>
              <w:spacing w:before="0"/>
              <w:jc w:val="center"/>
              <w:rPr>
                <w:b/>
                <w:sz w:val="22"/>
                <w:szCs w:val="20"/>
              </w:rPr>
            </w:pPr>
            <w:r w:rsidRPr="00D67C19">
              <w:rPr>
                <w:b/>
                <w:sz w:val="22"/>
                <w:szCs w:val="20"/>
              </w:rPr>
              <w:t>Descrição</w:t>
            </w:r>
          </w:p>
        </w:tc>
      </w:tr>
      <w:tr w:rsidR="00FD2559" w:rsidTr="00381780">
        <w:trPr>
          <w:trHeight w:val="340"/>
        </w:trPr>
        <w:tc>
          <w:tcPr>
            <w:tcW w:w="0" w:type="auto"/>
            <w:tcBorders>
              <w:top w:val="single" w:sz="12" w:space="0" w:color="auto"/>
            </w:tcBorders>
            <w:shd w:val="clear" w:color="auto" w:fill="auto"/>
            <w:tcMar>
              <w:top w:w="56" w:type="dxa"/>
              <w:left w:w="56" w:type="dxa"/>
              <w:bottom w:w="56" w:type="dxa"/>
              <w:right w:w="56" w:type="dxa"/>
            </w:tcMar>
            <w:vAlign w:val="center"/>
          </w:tcPr>
          <w:p w:rsidR="00FD2559" w:rsidRPr="00D67C19" w:rsidRDefault="005F7726" w:rsidP="00381780">
            <w:pPr>
              <w:widowControl w:val="0"/>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Estoque</m:t>
                    </m:r>
                  </m:e>
                  <m:sub>
                    <m:r>
                      <w:rPr>
                        <w:rFonts w:ascii="Cambria Math" w:hAnsi="Cambria Math"/>
                        <w:sz w:val="22"/>
                        <w:szCs w:val="20"/>
                      </w:rPr>
                      <m:t>i</m:t>
                    </m:r>
                  </m:sub>
                </m:sSub>
              </m:oMath>
            </m:oMathPara>
          </w:p>
        </w:tc>
        <w:tc>
          <w:tcPr>
            <w:tcW w:w="0" w:type="auto"/>
            <w:tcBorders>
              <w:top w:val="single" w:sz="12" w:space="0" w:color="auto"/>
            </w:tcBorders>
            <w:shd w:val="clear" w:color="auto" w:fill="auto"/>
            <w:tcMar>
              <w:top w:w="56" w:type="dxa"/>
              <w:left w:w="56" w:type="dxa"/>
              <w:bottom w:w="56" w:type="dxa"/>
              <w:right w:w="56" w:type="dxa"/>
            </w:tcMar>
            <w:vAlign w:val="center"/>
          </w:tcPr>
          <w:p w:rsidR="00FD2559" w:rsidRPr="00D67C19" w:rsidRDefault="00FD2559" w:rsidP="00381780">
            <w:pPr>
              <w:widowControl w:val="0"/>
              <w:spacing w:before="0"/>
              <w:rPr>
                <w:sz w:val="22"/>
                <w:szCs w:val="20"/>
              </w:rPr>
            </w:pPr>
            <w:r w:rsidRPr="00D67C19">
              <w:rPr>
                <w:sz w:val="22"/>
                <w:szCs w:val="20"/>
              </w:rPr>
              <w:t xml:space="preserve">Quantidade de estoque da matéria-prima </w:t>
            </w:r>
            <w:r w:rsidRPr="00D67C19">
              <w:rPr>
                <w:i/>
                <w:sz w:val="22"/>
                <w:szCs w:val="20"/>
              </w:rPr>
              <w:t>i</w:t>
            </w:r>
            <w:r w:rsidRPr="00D67C19">
              <w:rPr>
                <w:sz w:val="22"/>
                <w:szCs w:val="20"/>
              </w:rPr>
              <w:t>.</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5F7726" w:rsidP="00381780">
            <w:pPr>
              <w:widowControl w:val="0"/>
              <w:spacing w:before="0"/>
              <w:jc w:val="center"/>
              <w:rPr>
                <w:sz w:val="22"/>
                <w:szCs w:val="20"/>
              </w:rPr>
            </w:pPr>
            <m:oMathPara>
              <m:oMath>
                <m:sSub>
                  <m:sSubPr>
                    <m:ctrlPr>
                      <w:rPr>
                        <w:rFonts w:ascii="Cambria Math" w:hAnsi="Cambria Math"/>
                        <w:i/>
                        <w:sz w:val="22"/>
                        <w:szCs w:val="20"/>
                      </w:rPr>
                    </m:ctrlPr>
                  </m:sSubPr>
                  <m:e>
                    <m:r>
                      <w:rPr>
                        <w:rFonts w:ascii="Cambria Math" w:hAnsi="Cambria Math"/>
                        <w:sz w:val="22"/>
                        <w:szCs w:val="20"/>
                      </w:rPr>
                      <m:t>ComposicaoQuimica</m:t>
                    </m:r>
                  </m:e>
                  <m:sub>
                    <m:r>
                      <w:rPr>
                        <w:rFonts w:ascii="Cambria Math" w:hAnsi="Cambria Math"/>
                        <w:sz w:val="22"/>
                        <w:szCs w:val="20"/>
                      </w:rPr>
                      <m:t>ij</m:t>
                    </m:r>
                  </m:sub>
                </m:sSub>
              </m:oMath>
            </m:oMathPara>
          </w:p>
        </w:tc>
        <w:tc>
          <w:tcPr>
            <w:tcW w:w="0" w:type="auto"/>
            <w:shd w:val="clear" w:color="auto" w:fill="auto"/>
            <w:tcMar>
              <w:top w:w="56" w:type="dxa"/>
              <w:left w:w="56" w:type="dxa"/>
              <w:bottom w:w="56" w:type="dxa"/>
              <w:right w:w="56" w:type="dxa"/>
            </w:tcMar>
            <w:vAlign w:val="center"/>
          </w:tcPr>
          <w:p w:rsidR="00FD2559" w:rsidRPr="00FD2559" w:rsidRDefault="00FD2559" w:rsidP="00381780">
            <w:pPr>
              <w:widowControl w:val="0"/>
              <w:spacing w:before="0"/>
              <w:rPr>
                <w:sz w:val="22"/>
                <w:szCs w:val="20"/>
              </w:rPr>
            </w:pPr>
            <w:r>
              <w:rPr>
                <w:sz w:val="22"/>
                <w:szCs w:val="20"/>
              </w:rPr>
              <w:t xml:space="preserve">Composição química </w:t>
            </w:r>
            <w:r w:rsidR="00381780">
              <w:rPr>
                <w:sz w:val="22"/>
                <w:szCs w:val="20"/>
              </w:rPr>
              <w:t>do elemento</w:t>
            </w:r>
            <w:r w:rsidR="00381780" w:rsidRPr="00D67C19">
              <w:rPr>
                <w:sz w:val="22"/>
                <w:szCs w:val="20"/>
              </w:rPr>
              <w:t xml:space="preserve"> químico </w:t>
            </w:r>
            <w:r>
              <w:rPr>
                <w:i/>
                <w:sz w:val="22"/>
                <w:szCs w:val="20"/>
              </w:rPr>
              <w:t xml:space="preserve">j </w:t>
            </w:r>
            <w:r>
              <w:rPr>
                <w:sz w:val="22"/>
                <w:szCs w:val="20"/>
              </w:rPr>
              <w:t xml:space="preserve">na matéria-prima </w:t>
            </w:r>
            <w:r w:rsidRPr="00D67C19">
              <w:rPr>
                <w:i/>
                <w:sz w:val="22"/>
                <w:szCs w:val="20"/>
              </w:rPr>
              <w:t>i</w:t>
            </w:r>
            <w:r w:rsidRPr="00D67C19">
              <w:rPr>
                <w:sz w:val="22"/>
                <w:szCs w:val="20"/>
              </w:rPr>
              <w:t>.</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5F7726" w:rsidP="00381780">
            <w:pPr>
              <w:widowControl w:val="0"/>
              <w:pBdr>
                <w:top w:val="nil"/>
                <w:left w:val="nil"/>
                <w:bottom w:val="nil"/>
                <w:right w:val="nil"/>
                <w:between w:val="nil"/>
              </w:pBdr>
              <w:spacing w:before="0"/>
              <w:jc w:val="center"/>
              <w:rPr>
                <w:sz w:val="22"/>
                <w:szCs w:val="20"/>
              </w:rPr>
            </w:pPr>
            <m:oMathPara>
              <m:oMath>
                <m:sSub>
                  <m:sSubPr>
                    <m:ctrlPr>
                      <w:rPr>
                        <w:rFonts w:ascii="Cambria Math" w:hAnsi="Cambria Math"/>
                        <w:i/>
                        <w:sz w:val="22"/>
                        <w:szCs w:val="20"/>
                      </w:rPr>
                    </m:ctrlPr>
                  </m:sSubPr>
                  <m:e>
                    <m:r>
                      <w:rPr>
                        <w:rFonts w:ascii="Cambria Math" w:hAnsi="Cambria Math"/>
                        <w:sz w:val="22"/>
                        <w:szCs w:val="20"/>
                      </w:rPr>
                      <m:t>LimitesConcentracao</m:t>
                    </m:r>
                  </m:e>
                  <m:sub>
                    <m:r>
                      <w:rPr>
                        <w:rFonts w:ascii="Cambria Math" w:hAnsi="Cambria Math"/>
                        <w:sz w:val="22"/>
                        <w:szCs w:val="20"/>
                      </w:rPr>
                      <m:t>i[1,2]</m:t>
                    </m:r>
                  </m:sub>
                </m:sSub>
              </m:oMath>
            </m:oMathPara>
          </w:p>
        </w:tc>
        <w:tc>
          <w:tcPr>
            <w:tcW w:w="0" w:type="auto"/>
            <w:shd w:val="clear" w:color="auto" w:fill="auto"/>
            <w:tcMar>
              <w:top w:w="56" w:type="dxa"/>
              <w:left w:w="56" w:type="dxa"/>
              <w:bottom w:w="56" w:type="dxa"/>
              <w:right w:w="56" w:type="dxa"/>
            </w:tcMar>
            <w:vAlign w:val="center"/>
          </w:tcPr>
          <w:p w:rsidR="00FD2559" w:rsidRPr="00D67C19" w:rsidRDefault="00CA2201" w:rsidP="00381780">
            <w:pPr>
              <w:widowControl w:val="0"/>
              <w:pBdr>
                <w:top w:val="nil"/>
                <w:left w:val="nil"/>
                <w:bottom w:val="nil"/>
                <w:right w:val="nil"/>
                <w:between w:val="nil"/>
              </w:pBdr>
              <w:spacing w:before="0"/>
              <w:rPr>
                <w:sz w:val="22"/>
                <w:szCs w:val="20"/>
              </w:rPr>
            </w:pPr>
            <w:r>
              <w:rPr>
                <w:sz w:val="22"/>
                <w:szCs w:val="20"/>
              </w:rPr>
              <w:t xml:space="preserve">Limite inferior e </w:t>
            </w:r>
            <w:r w:rsidR="00FD2559">
              <w:rPr>
                <w:sz w:val="22"/>
                <w:szCs w:val="20"/>
              </w:rPr>
              <w:t xml:space="preserve">superior da concentração </w:t>
            </w:r>
            <w:r>
              <w:rPr>
                <w:sz w:val="22"/>
                <w:szCs w:val="20"/>
              </w:rPr>
              <w:t>do</w:t>
            </w:r>
            <w:r w:rsidR="00FD2559">
              <w:rPr>
                <w:sz w:val="22"/>
                <w:szCs w:val="20"/>
              </w:rPr>
              <w:t xml:space="preserve"> </w:t>
            </w:r>
            <w:r w:rsidRPr="00CA2201">
              <w:rPr>
                <w:sz w:val="22"/>
                <w:szCs w:val="20"/>
              </w:rPr>
              <w:t xml:space="preserve">elemento químico </w:t>
            </w:r>
            <w:r w:rsidR="00FD2559" w:rsidRPr="00D67C19">
              <w:rPr>
                <w:i/>
                <w:sz w:val="22"/>
                <w:szCs w:val="20"/>
              </w:rPr>
              <w:t>i</w:t>
            </w:r>
            <w:r w:rsidR="00FD2559" w:rsidRPr="00D67C19">
              <w:rPr>
                <w:sz w:val="22"/>
                <w:szCs w:val="20"/>
              </w:rPr>
              <w:t>.</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jc w:val="center"/>
              <w:rPr>
                <w:i/>
                <w:sz w:val="22"/>
                <w:szCs w:val="20"/>
              </w:rPr>
            </w:pPr>
            <w:r w:rsidRPr="00D67C19">
              <w:rPr>
                <w:i/>
                <w:sz w:val="22"/>
                <w:szCs w:val="20"/>
              </w:rPr>
              <w:t>LIb e LSb</w:t>
            </w:r>
          </w:p>
        </w:tc>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rPr>
                <w:sz w:val="22"/>
                <w:szCs w:val="20"/>
              </w:rPr>
            </w:pPr>
            <w:r w:rsidRPr="00D67C19">
              <w:rPr>
                <w:sz w:val="22"/>
                <w:szCs w:val="20"/>
              </w:rPr>
              <w:t>Limites inferior e superior da balança.</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jc w:val="center"/>
              <w:rPr>
                <w:i/>
                <w:sz w:val="22"/>
                <w:szCs w:val="20"/>
              </w:rPr>
            </w:pPr>
            <w:r w:rsidRPr="00D67C19">
              <w:rPr>
                <w:i/>
                <w:sz w:val="22"/>
                <w:szCs w:val="20"/>
              </w:rPr>
              <w:t>LIp e LSp</w:t>
            </w:r>
          </w:p>
        </w:tc>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rPr>
                <w:sz w:val="22"/>
                <w:szCs w:val="20"/>
              </w:rPr>
            </w:pPr>
            <w:r w:rsidRPr="00D67C19">
              <w:rPr>
                <w:sz w:val="22"/>
                <w:szCs w:val="20"/>
              </w:rPr>
              <w:t>Limites inferior e superior do pacote.</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FD2559" w:rsidP="00381780">
            <w:pPr>
              <w:spacing w:after="120"/>
              <w:ind w:right="454"/>
              <w:rPr>
                <w:sz w:val="22"/>
                <w:szCs w:val="20"/>
              </w:rPr>
            </w:pPr>
            <m:oMathPara>
              <m:oMath>
                <m:r>
                  <w:rPr>
                    <w:rFonts w:ascii="Cambria Math" w:hAnsi="Cambria Math"/>
                    <w:sz w:val="22"/>
                    <w:szCs w:val="20"/>
                  </w:rPr>
                  <m:t>MaxTiposPorPacote</m:t>
                </m:r>
              </m:oMath>
            </m:oMathPara>
          </w:p>
        </w:tc>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spacing w:before="0"/>
              <w:rPr>
                <w:sz w:val="22"/>
                <w:szCs w:val="20"/>
              </w:rPr>
            </w:pPr>
            <w:r w:rsidRPr="00D67C19">
              <w:rPr>
                <w:sz w:val="22"/>
                <w:szCs w:val="20"/>
              </w:rPr>
              <w:t>Quantidade máxima de tipos de elemento químico permitidos por pacote.</w:t>
            </w:r>
          </w:p>
        </w:tc>
      </w:tr>
      <w:tr w:rsidR="00FD2559" w:rsidTr="00381780">
        <w:trPr>
          <w:trHeight w:val="340"/>
        </w:trPr>
        <w:tc>
          <w:tcPr>
            <w:tcW w:w="0" w:type="auto"/>
            <w:shd w:val="clear" w:color="auto" w:fill="auto"/>
            <w:tcMar>
              <w:top w:w="56" w:type="dxa"/>
              <w:left w:w="56" w:type="dxa"/>
              <w:bottom w:w="56" w:type="dxa"/>
              <w:right w:w="56" w:type="dxa"/>
            </w:tcMar>
            <w:vAlign w:val="center"/>
          </w:tcPr>
          <w:p w:rsidR="00FD2559" w:rsidRPr="00D67C19" w:rsidRDefault="005F7726" w:rsidP="00381780">
            <w:pPr>
              <w:widowControl w:val="0"/>
              <w:pBdr>
                <w:top w:val="nil"/>
                <w:left w:val="nil"/>
                <w:bottom w:val="nil"/>
                <w:right w:val="nil"/>
                <w:between w:val="nil"/>
              </w:pBdr>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x</m:t>
                    </m:r>
                  </m:e>
                  <m:sub>
                    <m:r>
                      <w:rPr>
                        <w:rFonts w:ascii="Cambria Math" w:hAnsi="Cambria Math"/>
                        <w:sz w:val="22"/>
                        <w:szCs w:val="20"/>
                      </w:rPr>
                      <m:t>ij</m:t>
                    </m:r>
                  </m:sub>
                </m:sSub>
              </m:oMath>
            </m:oMathPara>
          </w:p>
        </w:tc>
        <w:tc>
          <w:tcPr>
            <w:tcW w:w="0" w:type="auto"/>
            <w:shd w:val="clear" w:color="auto" w:fill="auto"/>
            <w:tcMar>
              <w:top w:w="56" w:type="dxa"/>
              <w:left w:w="56" w:type="dxa"/>
              <w:bottom w:w="56" w:type="dxa"/>
              <w:right w:w="56" w:type="dxa"/>
            </w:tcMar>
            <w:vAlign w:val="center"/>
          </w:tcPr>
          <w:p w:rsidR="00FD2559" w:rsidRPr="00D67C19" w:rsidRDefault="00FD2559" w:rsidP="00381780">
            <w:pPr>
              <w:widowControl w:val="0"/>
              <w:pBdr>
                <w:top w:val="nil"/>
                <w:left w:val="nil"/>
                <w:bottom w:val="nil"/>
                <w:right w:val="nil"/>
                <w:between w:val="nil"/>
              </w:pBdr>
              <w:spacing w:before="0"/>
              <w:rPr>
                <w:sz w:val="22"/>
                <w:szCs w:val="20"/>
              </w:rPr>
            </w:pPr>
            <w:r w:rsidRPr="00D67C19">
              <w:rPr>
                <w:sz w:val="22"/>
                <w:szCs w:val="20"/>
              </w:rPr>
              <w:t>Quantidade, em kg, de matéria prima i no pacote j.</w:t>
            </w:r>
          </w:p>
        </w:tc>
      </w:tr>
      <w:tr w:rsidR="00381780" w:rsidTr="00381780">
        <w:trPr>
          <w:trHeight w:val="340"/>
        </w:trPr>
        <w:tc>
          <w:tcPr>
            <w:tcW w:w="0" w:type="auto"/>
            <w:shd w:val="clear" w:color="auto" w:fill="auto"/>
            <w:tcMar>
              <w:top w:w="56" w:type="dxa"/>
              <w:left w:w="56" w:type="dxa"/>
              <w:bottom w:w="56" w:type="dxa"/>
              <w:right w:w="56" w:type="dxa"/>
            </w:tcMar>
            <w:vAlign w:val="center"/>
          </w:tcPr>
          <w:p w:rsidR="00381780" w:rsidRPr="00D67C19" w:rsidRDefault="005F7726" w:rsidP="00381780">
            <w:pPr>
              <w:widowControl w:val="0"/>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y</m:t>
                    </m:r>
                  </m:e>
                  <m:sub>
                    <m:r>
                      <w:rPr>
                        <w:rFonts w:ascii="Cambria Math" w:hAnsi="Cambria Math"/>
                        <w:sz w:val="22"/>
                        <w:szCs w:val="20"/>
                      </w:rPr>
                      <m:t>ij</m:t>
                    </m:r>
                  </m:sub>
                </m:sSub>
              </m:oMath>
            </m:oMathPara>
          </w:p>
        </w:tc>
        <w:tc>
          <w:tcPr>
            <w:tcW w:w="0" w:type="auto"/>
            <w:shd w:val="clear" w:color="auto" w:fill="auto"/>
            <w:tcMar>
              <w:top w:w="56" w:type="dxa"/>
              <w:left w:w="56" w:type="dxa"/>
              <w:bottom w:w="56" w:type="dxa"/>
              <w:right w:w="56" w:type="dxa"/>
            </w:tcMar>
            <w:vAlign w:val="center"/>
          </w:tcPr>
          <w:p w:rsidR="00381780" w:rsidRPr="00D67C19" w:rsidRDefault="00381780" w:rsidP="00381780">
            <w:pPr>
              <w:widowControl w:val="0"/>
              <w:spacing w:before="0"/>
              <w:rPr>
                <w:sz w:val="22"/>
                <w:szCs w:val="20"/>
              </w:rPr>
            </w:pPr>
            <w:r w:rsidRPr="00D67C19">
              <w:rPr>
                <w:sz w:val="22"/>
                <w:szCs w:val="20"/>
              </w:rPr>
              <w:t>Assume o valor 1 (um) se a matéria-prima</w:t>
            </w:r>
            <w:r w:rsidRPr="00381780">
              <w:rPr>
                <w:sz w:val="22"/>
                <w:szCs w:val="20"/>
              </w:rPr>
              <w:t xml:space="preserve"> i</w:t>
            </w:r>
            <w:r w:rsidRPr="00D67C19">
              <w:rPr>
                <w:sz w:val="22"/>
                <w:szCs w:val="20"/>
              </w:rPr>
              <w:t xml:space="preserve"> é atribuída ao pacote </w:t>
            </w:r>
            <w:r w:rsidRPr="00381780">
              <w:rPr>
                <w:sz w:val="22"/>
                <w:szCs w:val="20"/>
              </w:rPr>
              <w:t>j</w:t>
            </w:r>
            <w:r w:rsidRPr="00D67C19">
              <w:rPr>
                <w:sz w:val="22"/>
                <w:szCs w:val="20"/>
              </w:rPr>
              <w:t>, e assume valor 0 (zero) caso contrário.</w:t>
            </w:r>
          </w:p>
        </w:tc>
      </w:tr>
      <w:tr w:rsidR="00381780" w:rsidTr="00381780">
        <w:trPr>
          <w:trHeight w:val="340"/>
        </w:trPr>
        <w:tc>
          <w:tcPr>
            <w:tcW w:w="0" w:type="auto"/>
            <w:shd w:val="clear" w:color="auto" w:fill="auto"/>
            <w:tcMar>
              <w:top w:w="56" w:type="dxa"/>
              <w:left w:w="56" w:type="dxa"/>
              <w:bottom w:w="56" w:type="dxa"/>
              <w:right w:w="56" w:type="dxa"/>
            </w:tcMar>
            <w:vAlign w:val="center"/>
          </w:tcPr>
          <w:p w:rsidR="00381780" w:rsidRPr="00D67C19" w:rsidRDefault="005F7726" w:rsidP="00381780">
            <w:pPr>
              <w:widowControl w:val="0"/>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desvioMaximo</m:t>
                    </m:r>
                  </m:e>
                  <m:sub>
                    <m:r>
                      <w:rPr>
                        <w:rFonts w:ascii="Cambria Math" w:hAnsi="Cambria Math"/>
                        <w:sz w:val="22"/>
                        <w:szCs w:val="20"/>
                      </w:rPr>
                      <m:t>k</m:t>
                    </m:r>
                  </m:sub>
                </m:sSub>
              </m:oMath>
            </m:oMathPara>
          </w:p>
        </w:tc>
        <w:tc>
          <w:tcPr>
            <w:tcW w:w="0" w:type="auto"/>
            <w:shd w:val="clear" w:color="auto" w:fill="auto"/>
            <w:tcMar>
              <w:top w:w="56" w:type="dxa"/>
              <w:left w:w="56" w:type="dxa"/>
              <w:bottom w:w="56" w:type="dxa"/>
              <w:right w:w="56" w:type="dxa"/>
            </w:tcMar>
            <w:vAlign w:val="center"/>
          </w:tcPr>
          <w:p w:rsidR="00381780" w:rsidRPr="00D67C19" w:rsidRDefault="00381780" w:rsidP="00381780">
            <w:pPr>
              <w:widowControl w:val="0"/>
              <w:pBdr>
                <w:top w:val="nil"/>
                <w:left w:val="nil"/>
                <w:bottom w:val="nil"/>
                <w:right w:val="nil"/>
                <w:between w:val="nil"/>
              </w:pBdr>
              <w:spacing w:before="0"/>
              <w:rPr>
                <w:sz w:val="22"/>
                <w:szCs w:val="20"/>
              </w:rPr>
            </w:pPr>
            <w:r w:rsidRPr="00D67C19">
              <w:rPr>
                <w:sz w:val="22"/>
                <w:szCs w:val="20"/>
              </w:rPr>
              <w:t>Desvio máximo do elemento químico k.</w:t>
            </w:r>
          </w:p>
        </w:tc>
      </w:tr>
      <w:tr w:rsidR="00381780" w:rsidTr="00381780">
        <w:trPr>
          <w:trHeight w:val="340"/>
        </w:trPr>
        <w:tc>
          <w:tcPr>
            <w:tcW w:w="0" w:type="auto"/>
            <w:shd w:val="clear" w:color="auto" w:fill="auto"/>
            <w:tcMar>
              <w:top w:w="56" w:type="dxa"/>
              <w:left w:w="56" w:type="dxa"/>
              <w:bottom w:w="56" w:type="dxa"/>
              <w:right w:w="56" w:type="dxa"/>
            </w:tcMar>
            <w:vAlign w:val="center"/>
          </w:tcPr>
          <w:p w:rsidR="00381780" w:rsidRPr="00D67C19" w:rsidRDefault="005F7726" w:rsidP="00381780">
            <w:pPr>
              <w:widowControl w:val="0"/>
              <w:spacing w:before="0"/>
              <w:jc w:val="center"/>
              <w:rPr>
                <w:sz w:val="22"/>
                <w:szCs w:val="20"/>
              </w:rPr>
            </w:pPr>
            <m:oMathPara>
              <m:oMath>
                <m:sSub>
                  <m:sSubPr>
                    <m:ctrlPr>
                      <w:rPr>
                        <w:rFonts w:ascii="Cambria Math" w:hAnsi="Cambria Math"/>
                        <w:sz w:val="22"/>
                        <w:szCs w:val="20"/>
                      </w:rPr>
                    </m:ctrlPr>
                  </m:sSubPr>
                  <m:e>
                    <m:r>
                      <w:rPr>
                        <w:rFonts w:ascii="Cambria Math" w:hAnsi="Cambria Math"/>
                        <w:sz w:val="22"/>
                        <w:szCs w:val="20"/>
                      </w:rPr>
                      <m:t>p</m:t>
                    </m:r>
                  </m:e>
                  <m:sub>
                    <m:r>
                      <w:rPr>
                        <w:rFonts w:ascii="Cambria Math" w:hAnsi="Cambria Math"/>
                        <w:sz w:val="22"/>
                        <w:szCs w:val="20"/>
                      </w:rPr>
                      <m:t>j</m:t>
                    </m:r>
                  </m:sub>
                </m:sSub>
              </m:oMath>
            </m:oMathPara>
          </w:p>
        </w:tc>
        <w:tc>
          <w:tcPr>
            <w:tcW w:w="0" w:type="auto"/>
            <w:shd w:val="clear" w:color="auto" w:fill="auto"/>
            <w:tcMar>
              <w:top w:w="56" w:type="dxa"/>
              <w:left w:w="56" w:type="dxa"/>
              <w:bottom w:w="56" w:type="dxa"/>
              <w:right w:w="56" w:type="dxa"/>
            </w:tcMar>
            <w:vAlign w:val="center"/>
          </w:tcPr>
          <w:p w:rsidR="00381780" w:rsidRPr="00D67C19" w:rsidRDefault="00381780" w:rsidP="00381780">
            <w:pPr>
              <w:widowControl w:val="0"/>
              <w:spacing w:before="0"/>
              <w:rPr>
                <w:sz w:val="22"/>
                <w:szCs w:val="20"/>
              </w:rPr>
            </w:pPr>
            <w:r w:rsidRPr="00D67C19">
              <w:rPr>
                <w:sz w:val="22"/>
                <w:szCs w:val="20"/>
              </w:rPr>
              <w:t>Peso do pacote j.</w:t>
            </w:r>
          </w:p>
        </w:tc>
      </w:tr>
      <w:tr w:rsidR="00381780" w:rsidTr="00381780">
        <w:trPr>
          <w:trHeight w:val="340"/>
        </w:trPr>
        <w:tc>
          <w:tcPr>
            <w:tcW w:w="0" w:type="auto"/>
            <w:tcBorders>
              <w:bottom w:val="single" w:sz="12" w:space="0" w:color="auto"/>
            </w:tcBorders>
            <w:shd w:val="clear" w:color="auto" w:fill="auto"/>
            <w:tcMar>
              <w:top w:w="56" w:type="dxa"/>
              <w:left w:w="56" w:type="dxa"/>
              <w:bottom w:w="56" w:type="dxa"/>
              <w:right w:w="56" w:type="dxa"/>
            </w:tcMar>
            <w:vAlign w:val="center"/>
          </w:tcPr>
          <w:p w:rsidR="00381780" w:rsidRPr="00D67C19" w:rsidRDefault="005F7726" w:rsidP="00381780">
            <w:pPr>
              <w:spacing w:after="120"/>
              <w:ind w:left="454" w:right="454"/>
              <w:jc w:val="center"/>
              <w:rPr>
                <w:rFonts w:ascii="Helvetica Neue" w:eastAsia="Helvetica Neue" w:hAnsi="Helvetica Neue" w:cs="Helvetica Neue"/>
                <w:sz w:val="22"/>
                <w:szCs w:val="20"/>
              </w:rPr>
            </w:pPr>
            <m:oMathPara>
              <m:oMath>
                <m:sSub>
                  <m:sSubPr>
                    <m:ctrlPr>
                      <w:rPr>
                        <w:rFonts w:ascii="Cambria Math" w:eastAsia="Helvetica Neue" w:hAnsi="Cambria Math" w:cs="Helvetica Neue"/>
                        <w:i/>
                        <w:sz w:val="22"/>
                        <w:szCs w:val="20"/>
                      </w:rPr>
                    </m:ctrlPr>
                  </m:sSubPr>
                  <m:e>
                    <m:r>
                      <w:rPr>
                        <w:rFonts w:ascii="Cambria Math" w:eastAsia="Helvetica Neue" w:hAnsi="Cambria Math" w:cs="Helvetica Neue"/>
                        <w:sz w:val="22"/>
                        <w:szCs w:val="20"/>
                      </w:rPr>
                      <m:t>qtdeElemento</m:t>
                    </m:r>
                  </m:e>
                  <m:sub>
                    <m:r>
                      <w:rPr>
                        <w:rFonts w:ascii="Cambria Math" w:eastAsia="Helvetica Neue" w:hAnsi="Cambria Math" w:cs="Helvetica Neue"/>
                        <w:sz w:val="22"/>
                        <w:szCs w:val="20"/>
                      </w:rPr>
                      <m:t>ij</m:t>
                    </m:r>
                  </m:sub>
                </m:sSub>
              </m:oMath>
            </m:oMathPara>
          </w:p>
        </w:tc>
        <w:tc>
          <w:tcPr>
            <w:tcW w:w="0" w:type="auto"/>
            <w:tcBorders>
              <w:bottom w:val="single" w:sz="12" w:space="0" w:color="auto"/>
            </w:tcBorders>
            <w:shd w:val="clear" w:color="auto" w:fill="auto"/>
            <w:tcMar>
              <w:top w:w="56" w:type="dxa"/>
              <w:left w:w="56" w:type="dxa"/>
              <w:bottom w:w="56" w:type="dxa"/>
              <w:right w:w="56" w:type="dxa"/>
            </w:tcMar>
            <w:vAlign w:val="center"/>
          </w:tcPr>
          <w:p w:rsidR="00381780" w:rsidRPr="00D67C19" w:rsidRDefault="00381780" w:rsidP="00381780">
            <w:pPr>
              <w:widowControl w:val="0"/>
              <w:spacing w:before="0"/>
              <w:jc w:val="left"/>
              <w:rPr>
                <w:sz w:val="22"/>
                <w:szCs w:val="20"/>
              </w:rPr>
            </w:pPr>
            <w:r w:rsidRPr="00D67C19">
              <w:rPr>
                <w:sz w:val="22"/>
                <w:szCs w:val="20"/>
              </w:rPr>
              <w:t xml:space="preserve">Quantidade do elemento químico </w:t>
            </w:r>
            <w:r w:rsidRPr="00381780">
              <w:rPr>
                <w:sz w:val="22"/>
                <w:szCs w:val="20"/>
              </w:rPr>
              <w:t>i</w:t>
            </w:r>
            <w:r w:rsidRPr="00D67C19">
              <w:rPr>
                <w:sz w:val="22"/>
                <w:szCs w:val="20"/>
              </w:rPr>
              <w:t xml:space="preserve"> no pacote </w:t>
            </w:r>
            <w:r w:rsidRPr="00381780">
              <w:rPr>
                <w:sz w:val="22"/>
                <w:szCs w:val="20"/>
              </w:rPr>
              <w:t>j</w:t>
            </w:r>
            <w:r w:rsidRPr="00D67C19">
              <w:rPr>
                <w:sz w:val="22"/>
                <w:szCs w:val="20"/>
              </w:rPr>
              <w:t>.</w:t>
            </w:r>
          </w:p>
        </w:tc>
      </w:tr>
    </w:tbl>
    <w:p w:rsidR="009806DA" w:rsidRDefault="009806DA">
      <w:pPr>
        <w:pStyle w:val="Ttulo3"/>
        <w:spacing w:before="240"/>
        <w:jc w:val="left"/>
        <w:rPr>
          <w:sz w:val="24"/>
          <w:szCs w:val="24"/>
        </w:rPr>
      </w:pPr>
      <w:bookmarkStart w:id="1" w:name="_lqrqdph98v2j" w:colFirst="0" w:colLast="0"/>
      <w:bookmarkStart w:id="2" w:name="_4ullpa8koya" w:colFirst="0" w:colLast="0"/>
      <w:bookmarkEnd w:id="1"/>
      <w:bookmarkEnd w:id="2"/>
    </w:p>
    <w:p w:rsidR="00E47FDD" w:rsidRPr="00D67C19" w:rsidRDefault="00E4422C">
      <w:pPr>
        <w:pStyle w:val="Ttulo3"/>
        <w:spacing w:before="240"/>
        <w:jc w:val="left"/>
        <w:rPr>
          <w:sz w:val="24"/>
          <w:szCs w:val="24"/>
        </w:rPr>
      </w:pPr>
      <w:r>
        <w:rPr>
          <w:sz w:val="24"/>
          <w:szCs w:val="24"/>
        </w:rPr>
        <w:t>2.1. Função Objetivo</w:t>
      </w:r>
    </w:p>
    <w:p w:rsidR="00E47FDD" w:rsidRDefault="00E47FDD"/>
    <w:tbl>
      <w:tblPr>
        <w:tblStyle w:val="a0"/>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E72B5B">
        <w:trPr>
          <w:trHeight w:val="760"/>
        </w:trPr>
        <w:tc>
          <w:tcPr>
            <w:tcW w:w="5000" w:type="pct"/>
            <w:shd w:val="clear" w:color="auto" w:fill="auto"/>
            <w:tcMar>
              <w:top w:w="100" w:type="dxa"/>
              <w:left w:w="100" w:type="dxa"/>
              <w:bottom w:w="100" w:type="dxa"/>
              <w:right w:w="100" w:type="dxa"/>
            </w:tcMar>
            <w:vAlign w:val="center"/>
          </w:tcPr>
          <w:p w:rsidR="00E47FDD" w:rsidRPr="001A0320" w:rsidRDefault="00DA296C" w:rsidP="001A0320">
            <w:pPr>
              <w:spacing w:after="120"/>
              <w:ind w:right="454"/>
              <w:jc w:val="center"/>
            </w:pPr>
            <m:oMathPara>
              <m:oMathParaPr>
                <m:jc m:val="center"/>
              </m:oMathParaPr>
              <m:oMath>
                <m:r>
                  <w:rPr>
                    <w:rFonts w:ascii="Cambria Math" w:hAnsi="Cambria Math"/>
                  </w:rPr>
                  <m:t xml:space="preserve">Min </m:t>
                </m:r>
                <m:nary>
                  <m:naryPr>
                    <m:chr m:val="∑"/>
                    <m:limLoc m:val="undOvr"/>
                    <m:supHide m:val="1"/>
                    <m:ctrlPr>
                      <w:rPr>
                        <w:rFonts w:ascii="Cambria Math" w:hAnsi="Cambria Math"/>
                        <w:i/>
                      </w:rPr>
                    </m:ctrlPr>
                  </m:naryPr>
                  <m:sub>
                    <m:r>
                      <w:rPr>
                        <w:rFonts w:ascii="Cambria Math" w:hAnsi="Cambria Math"/>
                      </w:rPr>
                      <m:t>k ∈ Elementos</m:t>
                    </m:r>
                  </m:sub>
                  <m:sup/>
                  <m:e>
                    <m:sSub>
                      <m:sSubPr>
                        <m:ctrlPr>
                          <w:rPr>
                            <w:rFonts w:ascii="Cambria Math" w:hAnsi="Cambria Math"/>
                            <w:i/>
                          </w:rPr>
                        </m:ctrlPr>
                      </m:sSubPr>
                      <m:e>
                        <m:r>
                          <w:rPr>
                            <w:rFonts w:ascii="Cambria Math" w:hAnsi="Cambria Math"/>
                          </w:rPr>
                          <m:t>desvioMaximo</m:t>
                        </m:r>
                      </m:e>
                      <m:sub>
                        <m:r>
                          <w:rPr>
                            <w:rFonts w:ascii="Cambria Math" w:hAnsi="Cambria Math"/>
                          </w:rPr>
                          <m:t>k</m:t>
                        </m:r>
                      </m:sub>
                    </m:sSub>
                  </m:e>
                </m:nary>
              </m:oMath>
            </m:oMathPara>
          </w:p>
        </w:tc>
      </w:tr>
    </w:tbl>
    <w:p w:rsidR="00E47FDD" w:rsidRDefault="00E47FDD">
      <w:pPr>
        <w:spacing w:after="120"/>
        <w:ind w:right="454"/>
        <w:jc w:val="left"/>
      </w:pPr>
    </w:p>
    <w:p w:rsidR="00E47FDD" w:rsidRDefault="009806DA" w:rsidP="00DA296C">
      <w:r>
        <w:tab/>
      </w:r>
      <w:r w:rsidR="00E4422C">
        <w:t>A função objetivo busca minimizar a soma dos desvios máximos de cada elemento químico; insistindo no ponto apresentado anteriormente na seção 1 deste documento, a ideia é reduzir ao máximo a diferença de quantidade, em quilogramas, do mesmo elemento químico entre diferentes pacotes.</w:t>
      </w:r>
    </w:p>
    <w:p w:rsidR="007B6CC0" w:rsidRDefault="007B6CC0" w:rsidP="00DA296C">
      <w:pPr>
        <w:pStyle w:val="Ttulo4"/>
        <w:jc w:val="left"/>
      </w:pPr>
      <w:bookmarkStart w:id="3" w:name="_jt7uvifc32ii" w:colFirst="0" w:colLast="0"/>
      <w:bookmarkStart w:id="4" w:name="_ev3dins9y0qq" w:colFirst="0" w:colLast="0"/>
      <w:bookmarkEnd w:id="3"/>
      <w:bookmarkEnd w:id="4"/>
    </w:p>
    <w:p w:rsidR="00E47FDD" w:rsidRDefault="00E4422C" w:rsidP="00DA296C">
      <w:pPr>
        <w:pStyle w:val="Ttulo4"/>
        <w:jc w:val="left"/>
      </w:pPr>
      <w:r>
        <w:t>2.1.1 Restrição 1</w:t>
      </w:r>
    </w:p>
    <w:p w:rsidR="00E47FDD" w:rsidRDefault="00E47FDD"/>
    <w:tbl>
      <w:tblPr>
        <w:tblStyle w:val="a1"/>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DA296C">
        <w:tc>
          <w:tcPr>
            <w:tcW w:w="5000" w:type="pct"/>
            <w:shd w:val="clear" w:color="auto" w:fill="auto"/>
            <w:tcMar>
              <w:top w:w="100" w:type="dxa"/>
              <w:left w:w="100" w:type="dxa"/>
              <w:bottom w:w="100" w:type="dxa"/>
              <w:right w:w="100" w:type="dxa"/>
            </w:tcMar>
          </w:tcPr>
          <w:p w:rsidR="00E47FDD" w:rsidRPr="00383BED" w:rsidRDefault="00383BED" w:rsidP="00383BED">
            <w:pPr>
              <w:spacing w:after="120"/>
              <w:ind w:right="454"/>
              <w:jc w:val="center"/>
            </w:pPr>
            <m:oMathPara>
              <m:oMathParaPr>
                <m:jc m:val="left"/>
              </m:oMathParaPr>
              <m:oMath>
                <m:r>
                  <w:rPr>
                    <w:rFonts w:ascii="Cambria Math" w:hAnsi="Cambria Math"/>
                  </w:rPr>
                  <m:t xml:space="preserve">      LIp ≤</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LSp,          ∀ j∈Pacotes</m:t>
                </m:r>
              </m:oMath>
            </m:oMathPara>
          </w:p>
        </w:tc>
      </w:tr>
    </w:tbl>
    <w:p w:rsidR="00D94E39" w:rsidRDefault="00D94E39" w:rsidP="00D94E39">
      <w:pPr>
        <w:pStyle w:val="Ttulo4"/>
        <w:rPr>
          <w:b w:val="0"/>
        </w:rPr>
      </w:pPr>
      <w:bookmarkStart w:id="5" w:name="_9mq8k3oyaxfb" w:colFirst="0" w:colLast="0"/>
      <w:bookmarkStart w:id="6" w:name="_qecvp5gyqvd0" w:colFirst="0" w:colLast="0"/>
      <w:bookmarkEnd w:id="5"/>
      <w:bookmarkEnd w:id="6"/>
      <w:r>
        <w:rPr>
          <w:b w:val="0"/>
        </w:rPr>
        <w:tab/>
      </w:r>
      <w:r w:rsidR="00675851">
        <w:rPr>
          <w:b w:val="0"/>
        </w:rPr>
        <w:t>A</w:t>
      </w:r>
      <w:r w:rsidRPr="00D94E39">
        <w:rPr>
          <w:b w:val="0"/>
        </w:rPr>
        <w:t xml:space="preserve">ssegura que o </w:t>
      </w:r>
      <w:r w:rsidRPr="001A0320">
        <w:t>peso total de cada pacote</w:t>
      </w:r>
      <w:r w:rsidRPr="00D94E39">
        <w:rPr>
          <w:b w:val="0"/>
        </w:rPr>
        <w:t xml:space="preserve"> esteja dentro de um intervalo preestabelecido. O limite inferior evita que sejam formados pacotes com massa insuficie</w:t>
      </w:r>
      <w:r>
        <w:rPr>
          <w:b w:val="0"/>
        </w:rPr>
        <w:t xml:space="preserve">nte, enquanto o limite superior </w:t>
      </w:r>
      <w:r w:rsidRPr="00D94E39">
        <w:rPr>
          <w:b w:val="0"/>
        </w:rPr>
        <w:t xml:space="preserve">impede a geração de pacotes excessivamente pesados. Dessa forma, garante-se a padronização e a adequação operacional da produção. </w:t>
      </w:r>
    </w:p>
    <w:p w:rsidR="00E47FDD" w:rsidRPr="00D94E39" w:rsidRDefault="00E4422C" w:rsidP="00D94E39">
      <w:pPr>
        <w:pStyle w:val="Ttulo4"/>
        <w:jc w:val="left"/>
        <w:rPr>
          <w:b w:val="0"/>
        </w:rPr>
      </w:pPr>
      <w:r>
        <w:t>2</w:t>
      </w:r>
      <w:r w:rsidR="00383BED">
        <w:t>.1.2 Restrição 2</w:t>
      </w:r>
    </w:p>
    <w:p w:rsidR="00E47FDD" w:rsidRDefault="00E47FDD"/>
    <w:tbl>
      <w:tblPr>
        <w:tblStyle w:val="a2"/>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2" w:type="dxa"/>
          <w:right w:w="102" w:type="dxa"/>
        </w:tblCellMar>
        <w:tblLook w:val="0600" w:firstRow="0" w:lastRow="0" w:firstColumn="0" w:lastColumn="0" w:noHBand="1" w:noVBand="1"/>
      </w:tblPr>
      <w:tblGrid>
        <w:gridCol w:w="8485"/>
      </w:tblGrid>
      <w:tr w:rsidR="00E47FDD" w:rsidTr="00383BED">
        <w:tc>
          <w:tcPr>
            <w:tcW w:w="5000" w:type="pct"/>
            <w:shd w:val="clear" w:color="auto" w:fill="auto"/>
            <w:tcMar>
              <w:top w:w="100" w:type="dxa"/>
              <w:left w:w="100" w:type="dxa"/>
              <w:bottom w:w="100" w:type="dxa"/>
              <w:right w:w="100" w:type="dxa"/>
            </w:tcMar>
          </w:tcPr>
          <w:p w:rsidR="00383BED" w:rsidRPr="00383BED" w:rsidRDefault="005F7726" w:rsidP="00383BED">
            <w:pPr>
              <w:spacing w:after="120"/>
              <w:ind w:right="454"/>
            </w:pPr>
            <m:oMathPara>
              <m:oMathParaPr>
                <m:jc m:val="left"/>
              </m:oMathParaPr>
              <m:oMath>
                <m:sSub>
                  <m:sSubPr>
                    <m:ctrlPr>
                      <w:rPr>
                        <w:rFonts w:ascii="Cambria Math" w:eastAsia="Helvetica Neue" w:hAnsi="Cambria Math" w:cs="Helvetica Neue"/>
                        <w:i/>
                      </w:rPr>
                    </m:ctrlPr>
                  </m:sSubPr>
                  <m:e>
                    <m:r>
                      <w:rPr>
                        <w:rFonts w:ascii="Cambria Math" w:hAnsi="Cambria Math"/>
                      </w:rPr>
                      <m:t xml:space="preserve">      LIb*</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eastAsia="Helvetica Neue" w:hAnsi="Cambria Math" w:cs="Helvetica Neue"/>
                      </w:rPr>
                      <m:t>≤x</m:t>
                    </m:r>
                  </m:e>
                  <m:sub>
                    <m:r>
                      <w:rPr>
                        <w:rFonts w:ascii="Cambria Math" w:eastAsia="Helvetica Neue" w:hAnsi="Cambria Math" w:cs="Helvetica Neue"/>
                      </w:rPr>
                      <m:t>ij</m:t>
                    </m:r>
                  </m:sub>
                </m:sSub>
                <m:r>
                  <w:rPr>
                    <w:rFonts w:ascii="Cambria Math" w:eastAsia="Helvetica Neue" w:hAnsi="Cambria Math" w:cs="Helvetica Neue"/>
                  </w:rPr>
                  <m:t>≤</m:t>
                </m:r>
                <m:r>
                  <w:rPr>
                    <w:rFonts w:ascii="Cambria Math" w:hAnsi="Cambria Math"/>
                  </w:rPr>
                  <m:t>LSb*</m:t>
                </m:r>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          ∀ i∈MateriasPrimas, j∈Pacotes</m:t>
                </m:r>
              </m:oMath>
            </m:oMathPara>
          </w:p>
        </w:tc>
      </w:tr>
    </w:tbl>
    <w:p w:rsidR="00675851" w:rsidRDefault="00675851" w:rsidP="00675851">
      <w:pPr>
        <w:pStyle w:val="Ttulo4"/>
        <w:rPr>
          <w:b w:val="0"/>
        </w:rPr>
      </w:pPr>
      <w:bookmarkStart w:id="7" w:name="_9pfto2lep14z" w:colFirst="0" w:colLast="0"/>
      <w:bookmarkEnd w:id="7"/>
      <w:r>
        <w:rPr>
          <w:b w:val="0"/>
        </w:rPr>
        <w:lastRenderedPageBreak/>
        <w:tab/>
        <w:t>E</w:t>
      </w:r>
      <w:r w:rsidRPr="00675851">
        <w:rPr>
          <w:b w:val="0"/>
        </w:rPr>
        <w:t>stabelece a relação entre a variável contínua</w:t>
      </w:r>
      <w:r>
        <w:rPr>
          <w:b w:val="0"/>
        </w:rPr>
        <w:t xml:space="preserve"> </w:t>
      </w: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ij</m:t>
            </m:r>
          </m:sub>
        </m:sSub>
      </m:oMath>
      <w:r w:rsidRPr="00675851">
        <w:rPr>
          <w:b w:val="0"/>
        </w:rPr>
        <w:t>, que representa a quantidade da matéria-prima</w:t>
      </w:r>
      <w:r>
        <w:rPr>
          <w:b w:val="0"/>
        </w:rPr>
        <w:t xml:space="preserve"> </w:t>
      </w:r>
      <m:oMath>
        <m:r>
          <m:rPr>
            <m:sty m:val="bi"/>
          </m:rPr>
          <w:rPr>
            <w:rFonts w:ascii="Cambria Math" w:hAnsi="Cambria Math"/>
          </w:rPr>
          <m:t>i</m:t>
        </m:r>
      </m:oMath>
      <w:r w:rsidRPr="00675851">
        <w:rPr>
          <w:b w:val="0"/>
        </w:rPr>
        <w:t xml:space="preserve"> </w:t>
      </w:r>
      <w:r>
        <w:rPr>
          <w:b w:val="0"/>
        </w:rPr>
        <w:t>n</w:t>
      </w:r>
      <w:r w:rsidRPr="00675851">
        <w:rPr>
          <w:b w:val="0"/>
        </w:rPr>
        <w:t xml:space="preserve">o pacote </w:t>
      </w:r>
      <m:oMath>
        <m:r>
          <m:rPr>
            <m:sty m:val="bi"/>
          </m:rPr>
          <w:rPr>
            <w:rFonts w:ascii="Cambria Math" w:hAnsi="Cambria Math"/>
          </w:rPr>
          <m:t>j</m:t>
        </m:r>
      </m:oMath>
      <w:r>
        <w:rPr>
          <w:b w:val="0"/>
        </w:rPr>
        <w:t>, e a v</w:t>
      </w:r>
      <w:r w:rsidRPr="00675851">
        <w:rPr>
          <w:b w:val="0"/>
        </w:rPr>
        <w:t>ariável binária</w:t>
      </w:r>
      <w:r>
        <w:rPr>
          <w:b w:val="0"/>
        </w:rPr>
        <w:t xml:space="preserve">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ij</m:t>
            </m:r>
          </m:sub>
        </m:sSub>
      </m:oMath>
      <w:r>
        <w:rPr>
          <w:b w:val="0"/>
        </w:rPr>
        <w:t>,</w:t>
      </w:r>
      <w:r w:rsidRPr="00675851">
        <w:rPr>
          <w:b w:val="0"/>
        </w:rPr>
        <w:t xml:space="preserve"> que indica se a matéria-prima está presente no pacote. Quando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=0</m:t>
        </m:r>
      </m:oMath>
      <w:r w:rsidRPr="00675851">
        <w:rPr>
          <w:b w:val="0"/>
        </w:rPr>
        <w:t xml:space="preserve">, força-se </w:t>
      </w:r>
      <m:oMath>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ij</m:t>
            </m:r>
          </m:sub>
        </m:sSub>
        <m:r>
          <m:rPr>
            <m:sty m:val="bi"/>
          </m:rPr>
          <w:rPr>
            <w:rFonts w:ascii="Cambria Math" w:hAnsi="Cambria Math"/>
          </w:rPr>
          <m:t>=0</m:t>
        </m:r>
      </m:oMath>
      <w:r w:rsidRPr="00675851">
        <w:rPr>
          <w:b w:val="0"/>
        </w:rPr>
        <w:t>​, ou seja, a matéria</w:t>
      </w:r>
      <w:r>
        <w:rPr>
          <w:b w:val="0"/>
        </w:rPr>
        <w:t xml:space="preserve">-prima não é utilizada. Quando </w:t>
      </w:r>
      <m:oMath>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=1</m:t>
        </m:r>
      </m:oMath>
      <w:r w:rsidRPr="00675851">
        <w:rPr>
          <w:b w:val="0"/>
        </w:rPr>
        <w:t>, a quantidade deve respeitar os limites da</w:t>
      </w:r>
      <w:r>
        <w:rPr>
          <w:b w:val="0"/>
        </w:rPr>
        <w:t xml:space="preserve"> balança, compreendidos entre </w:t>
      </w:r>
      <m:oMath>
        <m:r>
          <m:rPr>
            <m:sty m:val="bi"/>
          </m:rPr>
          <w:rPr>
            <w:rFonts w:ascii="Cambria Math" w:hAnsi="Cambria Math"/>
          </w:rPr>
          <m:t>LIb</m:t>
        </m:r>
      </m:oMath>
      <w:r>
        <w:rPr>
          <w:b w:val="0"/>
        </w:rPr>
        <w:t xml:space="preserve"> e </w:t>
      </w:r>
      <m:oMath>
        <m:r>
          <m:rPr>
            <m:sty m:val="bi"/>
          </m:rPr>
          <w:rPr>
            <w:rFonts w:ascii="Cambria Math" w:hAnsi="Cambria Math"/>
          </w:rPr>
          <m:t>LSb</m:t>
        </m:r>
      </m:oMath>
      <w:r w:rsidRPr="00675851">
        <w:rPr>
          <w:b w:val="0"/>
        </w:rPr>
        <w:t xml:space="preserve">. Essa técnica, conhecida como </w:t>
      </w:r>
      <w:r w:rsidRPr="00675851">
        <w:t>Big-M</w:t>
      </w:r>
      <w:r w:rsidRPr="00675851">
        <w:rPr>
          <w:b w:val="0"/>
        </w:rPr>
        <w:t xml:space="preserve">, garante consistência lógica entre a seleção e a quantidade alocada. </w:t>
      </w:r>
    </w:p>
    <w:p w:rsidR="00E47FDD" w:rsidRDefault="00491780" w:rsidP="00DA296C">
      <w:pPr>
        <w:pStyle w:val="Ttulo4"/>
        <w:jc w:val="left"/>
      </w:pPr>
      <w:r>
        <w:t>2.1.3 Restrição 3</w:t>
      </w:r>
    </w:p>
    <w:p w:rsidR="00E47FDD" w:rsidRDefault="00E47FDD"/>
    <w:tbl>
      <w:tblPr>
        <w:tblStyle w:val="a3"/>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383BED">
        <w:tc>
          <w:tcPr>
            <w:tcW w:w="5000" w:type="pct"/>
            <w:shd w:val="clear" w:color="auto" w:fill="auto"/>
            <w:tcMar>
              <w:top w:w="100" w:type="dxa"/>
              <w:left w:w="100" w:type="dxa"/>
              <w:bottom w:w="100" w:type="dxa"/>
              <w:right w:w="100" w:type="dxa"/>
            </w:tcMar>
          </w:tcPr>
          <w:p w:rsidR="00E47FDD" w:rsidRPr="00491780" w:rsidRDefault="00491780" w:rsidP="00491780">
            <w:pPr>
              <w:spacing w:after="120"/>
              <w:ind w:right="454"/>
              <w:jc w:val="center"/>
              <w:rPr>
                <w:rFonts w:ascii="Helvetica Neue" w:eastAsia="Helvetica Neue" w:hAnsi="Helvetica Neue" w:cs="Helvetica Neue"/>
              </w:rPr>
            </w:pPr>
            <m:oMathPara>
              <m:oMathParaPr>
                <m:jc m:val="left"/>
              </m:oMathParaPr>
              <m:oMath>
                <m:r>
                  <w:rPr>
                    <w:rFonts w:ascii="Cambria Math" w:hAnsi="Cambria Math"/>
                  </w:rPr>
                  <m:t xml:space="preserve">      </m:t>
                </m:r>
                <m:nary>
                  <m:naryPr>
                    <m:chr m:val="∑"/>
                    <m:limLoc m:val="undOvr"/>
                    <m:supHide m:val="1"/>
                    <m:ctrlPr>
                      <w:rPr>
                        <w:rFonts w:ascii="Cambria Math" w:eastAsia="Helvetica Neue" w:hAnsi="Cambria Math" w:cs="Helvetica Neue"/>
                        <w:i/>
                      </w:rPr>
                    </m:ctrlPr>
                  </m:naryPr>
                  <m:sub>
                    <m:r>
                      <w:rPr>
                        <w:rFonts w:ascii="Cambria Math" w:eastAsia="Helvetica Neue" w:hAnsi="Cambria Math" w:cs="Helvetica Neue"/>
                      </w:rPr>
                      <m:t>i ∈ MateriasPrimas</m:t>
                    </m:r>
                  </m:sub>
                  <m:sup/>
                  <m:e>
                    <m:sSub>
                      <m:sSubPr>
                        <m:ctrlPr>
                          <w:rPr>
                            <w:rFonts w:ascii="Cambria Math" w:eastAsia="Helvetica Neue" w:hAnsi="Cambria Math" w:cs="Helvetica Neue"/>
                            <w:i/>
                          </w:rPr>
                        </m:ctrlPr>
                      </m:sSubPr>
                      <m:e>
                        <m:r>
                          <w:rPr>
                            <w:rFonts w:ascii="Cambria Math" w:eastAsia="Helvetica Neue" w:hAnsi="Cambria Math" w:cs="Helvetica Neue"/>
                          </w:rPr>
                          <m:t>y</m:t>
                        </m:r>
                      </m:e>
                      <m:sub>
                        <m:r>
                          <w:rPr>
                            <w:rFonts w:ascii="Cambria Math" w:eastAsia="Helvetica Neue" w:hAnsi="Cambria Math" w:cs="Helvetica Neue"/>
                          </w:rPr>
                          <m:t>ij</m:t>
                        </m:r>
                      </m:sub>
                    </m:sSub>
                    <m:r>
                      <w:rPr>
                        <w:rFonts w:ascii="Cambria Math" w:eastAsia="Helvetica Neue" w:hAnsi="Cambria Math" w:cs="Helvetica Neue"/>
                      </w:rPr>
                      <m:t>≤MaxTiposPorPacote,</m:t>
                    </m:r>
                    <m:r>
                      <w:rPr>
                        <w:rFonts w:ascii="Cambria Math" w:hAnsi="Cambria Math"/>
                      </w:rPr>
                      <m:t xml:space="preserve">          ∀ j∈Pacotes</m:t>
                    </m:r>
                  </m:e>
                </m:nary>
              </m:oMath>
            </m:oMathPara>
          </w:p>
        </w:tc>
      </w:tr>
    </w:tbl>
    <w:p w:rsidR="00675851" w:rsidRDefault="00675851" w:rsidP="00675851">
      <w:pPr>
        <w:pStyle w:val="Ttulo4"/>
        <w:rPr>
          <w:b w:val="0"/>
        </w:rPr>
      </w:pPr>
      <w:bookmarkStart w:id="8" w:name="_om5qoj4d6spw" w:colFirst="0" w:colLast="0"/>
      <w:bookmarkEnd w:id="8"/>
      <w:r>
        <w:rPr>
          <w:b w:val="0"/>
        </w:rPr>
        <w:tab/>
      </w:r>
      <w:r w:rsidRPr="00675851">
        <w:rPr>
          <w:b w:val="0"/>
        </w:rPr>
        <w:t xml:space="preserve">Limita-se a diversidade de matérias-primas em cada pacote. Essa condição é necessária, pois misturas com grande número de insumos podem aumentar a complexidade operacional e dificultar o controle de qualidade. Ao impor um limite, o modelo assegura </w:t>
      </w:r>
      <w:r w:rsidRPr="001A0320">
        <w:t>maior simplicidade e viabilidade prática na blendagem</w:t>
      </w:r>
      <w:r w:rsidRPr="00675851">
        <w:rPr>
          <w:b w:val="0"/>
        </w:rPr>
        <w:t xml:space="preserve">. </w:t>
      </w:r>
    </w:p>
    <w:p w:rsidR="00E47FDD" w:rsidRDefault="00E4422C" w:rsidP="00383BED">
      <w:pPr>
        <w:pStyle w:val="Ttulo4"/>
        <w:jc w:val="left"/>
      </w:pPr>
      <w:r>
        <w:t xml:space="preserve">2.1.4 Restrições </w:t>
      </w:r>
      <w:r w:rsidR="00491780">
        <w:t>4</w:t>
      </w:r>
    </w:p>
    <w:p w:rsidR="00E47FDD" w:rsidRDefault="00E47FDD"/>
    <w:tbl>
      <w:tblPr>
        <w:tblStyle w:val="a4"/>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675851">
        <w:trPr>
          <w:trHeight w:val="746"/>
        </w:trPr>
        <w:tc>
          <w:tcPr>
            <w:tcW w:w="5000" w:type="pct"/>
            <w:shd w:val="clear" w:color="auto" w:fill="auto"/>
            <w:tcMar>
              <w:top w:w="100" w:type="dxa"/>
              <w:left w:w="100" w:type="dxa"/>
              <w:bottom w:w="100" w:type="dxa"/>
              <w:right w:w="100" w:type="dxa"/>
            </w:tcMar>
          </w:tcPr>
          <w:p w:rsidR="00E47FDD" w:rsidRPr="00AE3C75" w:rsidRDefault="005F7726" w:rsidP="00AE3C75">
            <w:pPr>
              <w:spacing w:after="120"/>
              <w:ind w:right="454"/>
              <w:jc w:val="left"/>
              <w:rPr>
                <w:sz w:val="22"/>
                <w:szCs w:val="22"/>
              </w:rPr>
            </w:pPr>
            <m:oMathPara>
              <m:oMathParaPr>
                <m:jc m:val="left"/>
              </m:oMathParaPr>
              <m:oMath>
                <m:sSub>
                  <m:sSubPr>
                    <m:ctrlPr>
                      <w:rPr>
                        <w:rFonts w:ascii="Cambria Math" w:hAnsi="Cambria Math"/>
                        <w:i/>
                        <w:sz w:val="22"/>
                        <w:szCs w:val="22"/>
                      </w:rPr>
                    </m:ctrlPr>
                  </m:sSubPr>
                  <m:e>
                    <m:r>
                      <w:rPr>
                        <w:rFonts w:ascii="Cambria Math" w:hAnsi="Cambria Math"/>
                        <w:sz w:val="22"/>
                        <w:szCs w:val="22"/>
                      </w:rPr>
                      <m:t>LimitesConcentracao</m:t>
                    </m:r>
                  </m:e>
                  <m:sub>
                    <m:r>
                      <w:rPr>
                        <w:rFonts w:ascii="Cambria Math" w:hAnsi="Cambria Math"/>
                        <w:sz w:val="22"/>
                        <w:szCs w:val="22"/>
                      </w:rPr>
                      <m:t>i</m:t>
                    </m:r>
                    <m:d>
                      <m:dPr>
                        <m:begChr m:val="["/>
                        <m:endChr m:val="]"/>
                        <m:ctrlPr>
                          <w:rPr>
                            <w:rFonts w:ascii="Cambria Math" w:hAnsi="Cambria Math"/>
                            <w:i/>
                            <w:sz w:val="22"/>
                            <w:szCs w:val="22"/>
                          </w:rPr>
                        </m:ctrlPr>
                      </m:dPr>
                      <m:e>
                        <m:r>
                          <w:rPr>
                            <w:rFonts w:ascii="Cambria Math" w:hAnsi="Cambria Math"/>
                            <w:sz w:val="22"/>
                            <w:szCs w:val="22"/>
                          </w:rPr>
                          <m:t>1</m:t>
                        </m:r>
                      </m:e>
                    </m:d>
                  </m:sub>
                </m:sSub>
                <m:r>
                  <w:rPr>
                    <w:rFonts w:ascii="Cambria Math" w:eastAsia="Helvetica Neue" w:hAnsi="Cambria Math" w:cs="Helvetica Neue"/>
                    <w:sz w:val="22"/>
                    <w:szCs w:val="22"/>
                  </w:rPr>
                  <m:t>*</m:t>
                </m:r>
                <m:sSub>
                  <m:sSubPr>
                    <m:ctrlPr>
                      <w:rPr>
                        <w:rFonts w:ascii="Cambria Math" w:eastAsia="Helvetica Neue" w:hAnsi="Cambria Math" w:cs="Helvetica Neue"/>
                        <w:i/>
                        <w:sz w:val="22"/>
                        <w:szCs w:val="22"/>
                      </w:rPr>
                    </m:ctrlPr>
                  </m:sSubPr>
                  <m:e>
                    <m:r>
                      <w:rPr>
                        <w:rFonts w:ascii="Cambria Math" w:eastAsia="Helvetica Neue" w:hAnsi="Cambria Math" w:cs="Helvetica Neue"/>
                        <w:sz w:val="22"/>
                        <w:szCs w:val="22"/>
                      </w:rPr>
                      <m:t>p</m:t>
                    </m:r>
                  </m:e>
                  <m:sub>
                    <m:r>
                      <w:rPr>
                        <w:rFonts w:ascii="Cambria Math" w:eastAsia="Helvetica Neue" w:hAnsi="Cambria Math" w:cs="Helvetica Neue"/>
                        <w:sz w:val="22"/>
                        <w:szCs w:val="22"/>
                      </w:rPr>
                      <m:t>j</m:t>
                    </m:r>
                  </m:sub>
                </m:sSub>
                <m:r>
                  <w:rPr>
                    <w:rFonts w:ascii="Cambria Math" w:eastAsia="Helvetica Neue" w:hAnsi="Cambria Math" w:cs="Helvetica Neue"/>
                    <w:sz w:val="22"/>
                    <w:szCs w:val="22"/>
                  </w:rPr>
                  <m:t>≤</m:t>
                </m:r>
                <m:sSub>
                  <m:sSubPr>
                    <m:ctrlPr>
                      <w:rPr>
                        <w:rFonts w:ascii="Cambria Math" w:eastAsia="Helvetica Neue" w:hAnsi="Cambria Math" w:cs="Helvetica Neue"/>
                        <w:i/>
                        <w:sz w:val="22"/>
                        <w:szCs w:val="22"/>
                      </w:rPr>
                    </m:ctrlPr>
                  </m:sSubPr>
                  <m:e>
                    <m:r>
                      <w:rPr>
                        <w:rFonts w:ascii="Cambria Math" w:eastAsia="Helvetica Neue" w:hAnsi="Cambria Math" w:cs="Helvetica Neue"/>
                        <w:sz w:val="22"/>
                        <w:szCs w:val="22"/>
                      </w:rPr>
                      <m:t>qtdeElemento</m:t>
                    </m:r>
                  </m:e>
                  <m:sub>
                    <m:r>
                      <w:rPr>
                        <w:rFonts w:ascii="Cambria Math" w:eastAsia="Helvetica Neue" w:hAnsi="Cambria Math" w:cs="Helvetica Neue"/>
                        <w:sz w:val="22"/>
                        <w:szCs w:val="22"/>
                      </w:rPr>
                      <m:t>ij</m:t>
                    </m:r>
                  </m:sub>
                </m:sSub>
                <m:r>
                  <w:rPr>
                    <w:rFonts w:ascii="Cambria Math" w:eastAsia="Helvetica Neue" w:hAnsi="Cambria Math" w:cs="Helvetica Neue"/>
                    <w:sz w:val="22"/>
                    <w:szCs w:val="22"/>
                  </w:rPr>
                  <m:t>≤</m:t>
                </m:r>
                <m:sSub>
                  <m:sSubPr>
                    <m:ctrlPr>
                      <w:rPr>
                        <w:rFonts w:ascii="Cambria Math" w:hAnsi="Cambria Math"/>
                        <w:i/>
                        <w:sz w:val="22"/>
                        <w:szCs w:val="22"/>
                      </w:rPr>
                    </m:ctrlPr>
                  </m:sSubPr>
                  <m:e>
                    <m:r>
                      <w:rPr>
                        <w:rFonts w:ascii="Cambria Math" w:hAnsi="Cambria Math"/>
                        <w:sz w:val="22"/>
                        <w:szCs w:val="22"/>
                      </w:rPr>
                      <m:t>LimitesConcentracao</m:t>
                    </m:r>
                  </m:e>
                  <m:sub>
                    <m:r>
                      <w:rPr>
                        <w:rFonts w:ascii="Cambria Math" w:hAnsi="Cambria Math"/>
                        <w:sz w:val="22"/>
                        <w:szCs w:val="22"/>
                      </w:rPr>
                      <m:t>i</m:t>
                    </m:r>
                    <m:d>
                      <m:dPr>
                        <m:begChr m:val="["/>
                        <m:endChr m:val="]"/>
                        <m:ctrlPr>
                          <w:rPr>
                            <w:rFonts w:ascii="Cambria Math" w:hAnsi="Cambria Math"/>
                            <w:i/>
                            <w:sz w:val="22"/>
                            <w:szCs w:val="22"/>
                          </w:rPr>
                        </m:ctrlPr>
                      </m:dPr>
                      <m:e>
                        <m:r>
                          <w:rPr>
                            <w:rFonts w:ascii="Cambria Math" w:hAnsi="Cambria Math"/>
                            <w:sz w:val="22"/>
                            <w:szCs w:val="22"/>
                          </w:rPr>
                          <m:t>2</m:t>
                        </m:r>
                      </m:e>
                    </m:d>
                  </m:sub>
                </m:sSub>
                <m:r>
                  <w:rPr>
                    <w:rFonts w:ascii="Cambria Math" w:hAnsi="Cambria Math"/>
                    <w:sz w:val="22"/>
                    <w:szCs w:val="22"/>
                  </w:rPr>
                  <m:t>*pj,</m:t>
                </m:r>
              </m:oMath>
            </m:oMathPara>
          </w:p>
          <w:p w:rsidR="00AE3C75" w:rsidRPr="00AE3C75" w:rsidRDefault="00AE3C75" w:rsidP="00CA2201">
            <w:pPr>
              <w:spacing w:after="120"/>
              <w:ind w:right="454"/>
              <w:jc w:val="left"/>
              <w:rPr>
                <w:sz w:val="22"/>
                <w:szCs w:val="22"/>
              </w:rPr>
            </w:pPr>
            <m:oMathPara>
              <m:oMathParaPr>
                <m:jc m:val="left"/>
              </m:oMathParaPr>
              <m:oMath>
                <m:r>
                  <w:rPr>
                    <w:rFonts w:ascii="Cambria Math" w:hAnsi="Cambria Math"/>
                    <w:sz w:val="22"/>
                    <w:szCs w:val="22"/>
                  </w:rPr>
                  <m:t>∀ i∈</m:t>
                </m:r>
                <m:r>
                  <w:rPr>
                    <w:rFonts w:ascii="Cambria Math" w:hAnsi="Cambria Math"/>
                    <w:sz w:val="22"/>
                    <w:szCs w:val="20"/>
                  </w:rPr>
                  <m:t>Elementos</m:t>
                </m:r>
                <m:r>
                  <w:rPr>
                    <w:rFonts w:ascii="Cambria Math" w:hAnsi="Cambria Math"/>
                    <w:sz w:val="22"/>
                    <w:szCs w:val="22"/>
                  </w:rPr>
                  <m:t>,j∈Pacotes</m:t>
                </m:r>
              </m:oMath>
            </m:oMathPara>
          </w:p>
        </w:tc>
      </w:tr>
    </w:tbl>
    <w:p w:rsidR="00675851" w:rsidRDefault="00675851" w:rsidP="00675851">
      <w:pPr>
        <w:pStyle w:val="Ttulo4"/>
        <w:rPr>
          <w:b w:val="0"/>
        </w:rPr>
      </w:pPr>
      <w:bookmarkStart w:id="9" w:name="_p3vsfzwu42p9" w:colFirst="0" w:colLast="0"/>
      <w:bookmarkEnd w:id="9"/>
      <w:r>
        <w:rPr>
          <w:b w:val="0"/>
        </w:rPr>
        <w:tab/>
      </w:r>
      <w:r w:rsidRPr="00675851">
        <w:rPr>
          <w:b w:val="0"/>
        </w:rPr>
        <w:t>Garante que a concentração de cada elemento químico</w:t>
      </w:r>
      <w:r>
        <w:rPr>
          <w:b w:val="0"/>
        </w:rPr>
        <w:t xml:space="preserve"> </w:t>
      </w:r>
      <m:oMath>
        <m:r>
          <m:rPr>
            <m:sty m:val="bi"/>
          </m:rPr>
          <w:rPr>
            <w:rFonts w:ascii="Cambria Math" w:hAnsi="Cambria Math"/>
          </w:rPr>
          <m:t>k</m:t>
        </m:r>
      </m:oMath>
      <w:r w:rsidRPr="00675851">
        <w:rPr>
          <w:b w:val="0"/>
        </w:rPr>
        <w:t xml:space="preserve"> em cada pacote </w:t>
      </w:r>
      <m:oMath>
        <m:r>
          <m:rPr>
            <m:sty m:val="bi"/>
          </m:rPr>
          <w:rPr>
            <w:rFonts w:ascii="Cambria Math" w:hAnsi="Cambria Math"/>
          </w:rPr>
          <m:t>j</m:t>
        </m:r>
      </m:oMath>
      <w:r>
        <w:rPr>
          <w:b w:val="0"/>
        </w:rPr>
        <w:t xml:space="preserve"> </w:t>
      </w:r>
      <w:r w:rsidRPr="00675851">
        <w:rPr>
          <w:b w:val="0"/>
        </w:rPr>
        <w:t xml:space="preserve">esteja dentro da </w:t>
      </w:r>
      <w:r w:rsidRPr="001A0320">
        <w:t>faixa aceitável de operação</w:t>
      </w:r>
      <w:r w:rsidRPr="00675851">
        <w:rPr>
          <w:b w:val="0"/>
        </w:rPr>
        <w:t xml:space="preserve">. O limite inferior previne deficiência de determinado elemento, enquanto o limite superior evita excesso, que poderia comprometer as propriedades físicas e químicas do sínter. Essa restrição é essencial para manter a qualidade do produto final. </w:t>
      </w:r>
    </w:p>
    <w:p w:rsidR="00E47FDD" w:rsidRDefault="00E4422C" w:rsidP="00675851">
      <w:pPr>
        <w:pStyle w:val="Ttulo4"/>
        <w:jc w:val="left"/>
      </w:pPr>
      <w:r>
        <w:t xml:space="preserve">2.1.5 Restrição </w:t>
      </w:r>
      <w:r w:rsidR="00491780">
        <w:t>5</w:t>
      </w:r>
    </w:p>
    <w:p w:rsidR="001A0320" w:rsidRPr="001A0320" w:rsidRDefault="001A0320" w:rsidP="001A0320"/>
    <w:tbl>
      <w:tblPr>
        <w:tblStyle w:val="a5"/>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675851">
        <w:trPr>
          <w:trHeight w:val="808"/>
        </w:trPr>
        <w:tc>
          <w:tcPr>
            <w:tcW w:w="5000" w:type="pct"/>
            <w:shd w:val="clear" w:color="auto" w:fill="auto"/>
            <w:tcMar>
              <w:top w:w="100" w:type="dxa"/>
              <w:left w:w="100" w:type="dxa"/>
              <w:bottom w:w="100" w:type="dxa"/>
              <w:right w:w="100" w:type="dxa"/>
            </w:tcMar>
          </w:tcPr>
          <w:p w:rsidR="006D33A6" w:rsidRPr="006D33A6" w:rsidRDefault="005F7726" w:rsidP="006D33A6">
            <w:pPr>
              <w:spacing w:after="120"/>
              <w:ind w:right="454"/>
              <w:rPr>
                <w:szCs w:val="22"/>
              </w:rPr>
            </w:pPr>
            <m:oMathPara>
              <m:oMathParaPr>
                <m:jc m:val="left"/>
              </m:oMathParaPr>
              <m:oMath>
                <m:sSub>
                  <m:sSubPr>
                    <m:ctrlPr>
                      <w:rPr>
                        <w:rFonts w:ascii="Cambria Math" w:eastAsia="Helvetica Neue" w:hAnsi="Cambria Math" w:cs="Helvetica Neue"/>
                        <w:i/>
                        <w:szCs w:val="22"/>
                      </w:rPr>
                    </m:ctrlPr>
                  </m:sSubPr>
                  <m:e>
                    <m:r>
                      <w:rPr>
                        <w:rFonts w:ascii="Cambria Math" w:eastAsia="Helvetica Neue" w:hAnsi="Cambria Math" w:cs="Helvetica Neue"/>
                        <w:szCs w:val="22"/>
                      </w:rPr>
                      <m:t>qtdeElemento</m:t>
                    </m:r>
                  </m:e>
                  <m:sub>
                    <m:r>
                      <w:rPr>
                        <w:rFonts w:ascii="Cambria Math" w:eastAsia="Helvetica Neue" w:hAnsi="Cambria Math" w:cs="Helvetica Neue"/>
                        <w:szCs w:val="22"/>
                      </w:rPr>
                      <m:t>ij</m:t>
                    </m:r>
                  </m:sub>
                </m:sSub>
                <m:r>
                  <w:rPr>
                    <w:rFonts w:ascii="Cambria Math" w:eastAsia="Helvetica Neue" w:hAnsi="Cambria Math" w:cs="Helvetica Neue"/>
                    <w:szCs w:val="22"/>
                  </w:rPr>
                  <m:t>-</m:t>
                </m:r>
                <m:sSub>
                  <m:sSubPr>
                    <m:ctrlPr>
                      <w:rPr>
                        <w:rFonts w:ascii="Cambria Math" w:eastAsia="Helvetica Neue" w:hAnsi="Cambria Math" w:cs="Helvetica Neue"/>
                        <w:i/>
                        <w:szCs w:val="22"/>
                      </w:rPr>
                    </m:ctrlPr>
                  </m:sSubPr>
                  <m:e>
                    <m:r>
                      <w:rPr>
                        <w:rFonts w:ascii="Cambria Math" w:eastAsia="Helvetica Neue" w:hAnsi="Cambria Math" w:cs="Helvetica Neue"/>
                        <w:szCs w:val="22"/>
                      </w:rPr>
                      <m:t>qtdeElemento</m:t>
                    </m:r>
                  </m:e>
                  <m:sub>
                    <m:r>
                      <w:rPr>
                        <w:rFonts w:ascii="Cambria Math" w:eastAsia="Helvetica Neue" w:hAnsi="Cambria Math" w:cs="Helvetica Neue"/>
                        <w:szCs w:val="22"/>
                      </w:rPr>
                      <m:t>ik</m:t>
                    </m:r>
                  </m:sub>
                </m:sSub>
                <m:r>
                  <w:rPr>
                    <w:rFonts w:ascii="Cambria Math" w:eastAsia="Helvetica Neue" w:hAnsi="Cambria Math" w:cs="Helvetica Neue"/>
                    <w:szCs w:val="22"/>
                  </w:rPr>
                  <m:t>≤</m:t>
                </m:r>
                <m:sSub>
                  <m:sSubPr>
                    <m:ctrlPr>
                      <w:rPr>
                        <w:rFonts w:ascii="Cambria Math" w:hAnsi="Cambria Math"/>
                        <w:szCs w:val="22"/>
                      </w:rPr>
                    </m:ctrlPr>
                  </m:sSubPr>
                  <m:e>
                    <m:r>
                      <w:rPr>
                        <w:rFonts w:ascii="Cambria Math" w:hAnsi="Cambria Math"/>
                        <w:szCs w:val="22"/>
                      </w:rPr>
                      <m:t>desvioMaximo</m:t>
                    </m:r>
                  </m:e>
                  <m:sub>
                    <m:r>
                      <w:rPr>
                        <w:rFonts w:ascii="Cambria Math" w:hAnsi="Cambria Math"/>
                        <w:szCs w:val="22"/>
                      </w:rPr>
                      <m:t>i</m:t>
                    </m:r>
                  </m:sub>
                </m:sSub>
                <m:r>
                  <w:rPr>
                    <w:rFonts w:ascii="Cambria Math" w:eastAsia="Helvetica Neue" w:hAnsi="Cambria Math" w:cs="Helvetica Neue"/>
                    <w:szCs w:val="22"/>
                  </w:rPr>
                  <m:t>,</m:t>
                </m:r>
                <m:r>
                  <w:rPr>
                    <w:rFonts w:ascii="Cambria Math" w:hAnsi="Cambria Math"/>
                    <w:szCs w:val="22"/>
                  </w:rPr>
                  <m:t xml:space="preserve"> </m:t>
                </m:r>
              </m:oMath>
            </m:oMathPara>
          </w:p>
          <w:p w:rsidR="00E47FDD" w:rsidRPr="006D33A6" w:rsidRDefault="006D33A6" w:rsidP="006D33A6">
            <w:pPr>
              <w:spacing w:after="120"/>
              <w:ind w:right="454"/>
              <w:rPr>
                <w:rFonts w:ascii="Helvetica Neue" w:eastAsia="Helvetica Neue" w:hAnsi="Helvetica Neue" w:cs="Helvetica Neue"/>
                <w:sz w:val="22"/>
                <w:szCs w:val="22"/>
              </w:rPr>
            </w:pPr>
            <m:oMathPara>
              <m:oMathParaPr>
                <m:jc m:val="left"/>
              </m:oMathParaPr>
              <m:oMath>
                <m:r>
                  <w:rPr>
                    <w:rFonts w:ascii="Cambria Math" w:hAnsi="Cambria Math"/>
                    <w:szCs w:val="22"/>
                  </w:rPr>
                  <m:t>∀ i∈Elementos, (j,k)∈Pacotes</m:t>
                </m:r>
              </m:oMath>
            </m:oMathPara>
          </w:p>
        </w:tc>
      </w:tr>
    </w:tbl>
    <w:p w:rsidR="00675851" w:rsidRPr="00675851" w:rsidRDefault="00675851" w:rsidP="00675851">
      <w:pPr>
        <w:pStyle w:val="NormalWeb"/>
        <w:jc w:val="both"/>
        <w:rPr>
          <w:rFonts w:ascii="Times" w:hAnsi="Times" w:cs="Times"/>
        </w:rPr>
      </w:pPr>
      <w:bookmarkStart w:id="10" w:name="_c7sltxgq2m7" w:colFirst="0" w:colLast="0"/>
      <w:bookmarkEnd w:id="10"/>
      <w:r w:rsidRPr="00675851">
        <w:tab/>
      </w:r>
      <w:r w:rsidRPr="00675851">
        <w:rPr>
          <w:rFonts w:ascii="Times" w:hAnsi="Times" w:cs="Times"/>
        </w:rPr>
        <w:t xml:space="preserve">Essa restrição assegura que a variável auxiliar </w:t>
      </w:r>
      <m:oMath>
        <m:sSub>
          <m:sSubPr>
            <m:ctrlPr>
              <w:rPr>
                <w:rFonts w:ascii="Cambria Math" w:hAnsi="Cambria Math" w:cs="Times"/>
              </w:rPr>
            </m:ctrlPr>
          </m:sSubPr>
          <m:e>
            <m:r>
              <w:rPr>
                <w:rFonts w:ascii="Cambria Math" w:hAnsi="Cambria Math" w:cs="Times"/>
              </w:rPr>
              <m:t>desvioMaximo</m:t>
            </m:r>
          </m:e>
          <m:sub>
            <m:r>
              <w:rPr>
                <w:rFonts w:ascii="Cambria Math" w:hAnsi="Cambria Math" w:cs="Times"/>
              </w:rPr>
              <m:t>k</m:t>
            </m:r>
          </m:sub>
        </m:sSub>
      </m:oMath>
      <w:r w:rsidRPr="00675851">
        <w:rPr>
          <w:rFonts w:ascii="Times" w:hAnsi="Times" w:cs="Times"/>
        </w:rPr>
        <w:t xml:space="preserve"> represente corretamente a </w:t>
      </w:r>
      <w:r w:rsidRPr="001A0320">
        <w:rPr>
          <w:rFonts w:ascii="Times" w:hAnsi="Times" w:cs="Times"/>
          <w:b/>
        </w:rPr>
        <w:t xml:space="preserve">maior diferença na quantidade do elemento químico </w:t>
      </w:r>
      <m:oMath>
        <m:r>
          <m:rPr>
            <m:sty m:val="bi"/>
          </m:rPr>
          <w:rPr>
            <w:rFonts w:ascii="Cambria Math" w:hAnsi="Cambria Math" w:cs="Times"/>
          </w:rPr>
          <m:t>k</m:t>
        </m:r>
      </m:oMath>
      <w:r w:rsidRPr="001A0320">
        <w:rPr>
          <w:rFonts w:ascii="Times" w:hAnsi="Times" w:cs="Times"/>
          <w:b/>
        </w:rPr>
        <w:t xml:space="preserve"> entre quaisquer dois pacotes</w:t>
      </w:r>
      <w:r w:rsidRPr="00675851">
        <w:rPr>
          <w:rFonts w:ascii="Times" w:hAnsi="Times" w:cs="Times"/>
        </w:rPr>
        <w:t>. Como a função objetivo busca minimizar a soma desses desvios, o modelo é forçado a reduzir as diferenças, promovendo uniformidade química entre os pacotes produzidos.</w:t>
      </w:r>
    </w:p>
    <w:p w:rsidR="00675851" w:rsidRPr="00675851" w:rsidRDefault="00675851" w:rsidP="00675851"/>
    <w:p w:rsidR="00E47FDD" w:rsidRDefault="00491780" w:rsidP="00491780">
      <w:pPr>
        <w:pStyle w:val="Ttulo4"/>
        <w:jc w:val="left"/>
      </w:pPr>
      <w:r>
        <w:lastRenderedPageBreak/>
        <w:t>2.1.6 Restrição 6</w:t>
      </w:r>
    </w:p>
    <w:p w:rsidR="00E47FDD" w:rsidRDefault="00E47FDD"/>
    <w:tbl>
      <w:tblPr>
        <w:tblStyle w:val="a6"/>
        <w:tblW w:w="5000" w:type="pc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8485"/>
      </w:tblGrid>
      <w:tr w:rsidR="00E47FDD" w:rsidTr="00491780">
        <w:tc>
          <w:tcPr>
            <w:tcW w:w="5000" w:type="pct"/>
            <w:shd w:val="clear" w:color="auto" w:fill="auto"/>
            <w:tcMar>
              <w:top w:w="100" w:type="dxa"/>
              <w:left w:w="100" w:type="dxa"/>
              <w:bottom w:w="100" w:type="dxa"/>
              <w:right w:w="100" w:type="dxa"/>
            </w:tcMar>
          </w:tcPr>
          <w:p w:rsidR="00E47FDD" w:rsidRPr="006D33A6" w:rsidRDefault="006D33A6" w:rsidP="006D33A6">
            <w:pPr>
              <w:spacing w:after="120"/>
              <w:ind w:right="454"/>
              <w:jc w:val="left"/>
              <w:rPr>
                <w:rFonts w:ascii="Helvetica Neue" w:eastAsia="Helvetica Neue" w:hAnsi="Helvetica Neue" w:cs="Helvetica Neue"/>
                <w:sz w:val="28"/>
                <w:szCs w:val="28"/>
              </w:rPr>
            </w:pPr>
            <m:oMathPara>
              <m:oMathParaPr>
                <m:jc m:val="left"/>
              </m:oMathParaPr>
              <m:oMath>
                <m:r>
                  <w:rPr>
                    <w:rFonts w:ascii="Cambria Math" w:hAnsi="Cambria Math"/>
                  </w:rPr>
                  <m:t xml:space="preserve">      </m:t>
                </m:r>
                <m:nary>
                  <m:naryPr>
                    <m:chr m:val="∑"/>
                    <m:limLoc m:val="undOvr"/>
                    <m:supHide m:val="1"/>
                    <m:ctrlPr>
                      <w:rPr>
                        <w:rFonts w:ascii="Cambria Math" w:eastAsia="Helvetica Neue" w:hAnsi="Cambria Math" w:cs="Helvetica Neue"/>
                        <w:i/>
                      </w:rPr>
                    </m:ctrlPr>
                  </m:naryPr>
                  <m:sub>
                    <m:r>
                      <w:rPr>
                        <w:rFonts w:ascii="Cambria Math" w:eastAsia="Helvetica Neue" w:hAnsi="Cambria Math" w:cs="Helvetica Neue"/>
                      </w:rPr>
                      <m:t>j ∈ Pacotes</m:t>
                    </m:r>
                  </m:sub>
                  <m:sup/>
                  <m:e>
                    <m:sSub>
                      <m:sSubPr>
                        <m:ctrlPr>
                          <w:rPr>
                            <w:rFonts w:ascii="Cambria Math" w:eastAsia="Helvetica Neue" w:hAnsi="Cambria Math" w:cs="Helvetica Neue"/>
                            <w:i/>
                          </w:rPr>
                        </m:ctrlPr>
                      </m:sSubPr>
                      <m:e>
                        <m:r>
                          <w:rPr>
                            <w:rFonts w:ascii="Cambria Math" w:eastAsia="Helvetica Neue" w:hAnsi="Cambria Math" w:cs="Helvetica Neue"/>
                          </w:rPr>
                          <m:t>x</m:t>
                        </m:r>
                      </m:e>
                      <m:sub>
                        <m:r>
                          <w:rPr>
                            <w:rFonts w:ascii="Cambria Math" w:eastAsia="Helvetica Neue" w:hAnsi="Cambria Math" w:cs="Helvetica Neue"/>
                          </w:rPr>
                          <m:t>ij</m:t>
                        </m:r>
                      </m:sub>
                    </m:sSub>
                    <m:r>
                      <w:rPr>
                        <w:rFonts w:ascii="Cambria Math" w:eastAsia="Helvetica Neue" w:hAnsi="Cambria Math" w:cs="Helvetica Neue"/>
                      </w:rPr>
                      <m:t>≤</m:t>
                    </m:r>
                    <m:sSub>
                      <m:sSubPr>
                        <m:ctrlPr>
                          <w:rPr>
                            <w:rFonts w:ascii="Cambria Math" w:eastAsia="Helvetica Neue" w:hAnsi="Cambria Math" w:cs="Helvetica Neue"/>
                            <w:i/>
                          </w:rPr>
                        </m:ctrlPr>
                      </m:sSubPr>
                      <m:e>
                        <m:r>
                          <w:rPr>
                            <w:rFonts w:ascii="Cambria Math" w:eastAsia="Helvetica Neue" w:hAnsi="Cambria Math" w:cs="Helvetica Neue"/>
                          </w:rPr>
                          <m:t>Estoque</m:t>
                        </m:r>
                      </m:e>
                      <m:sub>
                        <m:r>
                          <w:rPr>
                            <w:rFonts w:ascii="Cambria Math" w:eastAsia="Helvetica Neue" w:hAnsi="Cambria Math" w:cs="Helvetica Neue"/>
                          </w:rPr>
                          <m:t>i</m:t>
                        </m:r>
                      </m:sub>
                    </m:sSub>
                    <m:r>
                      <w:rPr>
                        <w:rFonts w:ascii="Cambria Math" w:eastAsia="Helvetica Neue" w:hAnsi="Cambria Math" w:cs="Helvetica Neue"/>
                      </w:rPr>
                      <m:t>,</m:t>
                    </m:r>
                    <m:r>
                      <w:rPr>
                        <w:rFonts w:ascii="Cambria Math" w:hAnsi="Cambria Math"/>
                      </w:rPr>
                      <m:t xml:space="preserve">          ∀ i∈MateriaPrima</m:t>
                    </m:r>
                  </m:e>
                </m:nary>
              </m:oMath>
            </m:oMathPara>
          </w:p>
        </w:tc>
      </w:tr>
    </w:tbl>
    <w:p w:rsidR="001A0320" w:rsidRDefault="001A0320" w:rsidP="001A0320">
      <w:pPr>
        <w:pStyle w:val="Ttulo2"/>
        <w:spacing w:before="240"/>
        <w:rPr>
          <w:b w:val="0"/>
          <w:sz w:val="24"/>
          <w:szCs w:val="24"/>
        </w:rPr>
      </w:pPr>
      <w:bookmarkStart w:id="11" w:name="_sxuu8f7w8p9q" w:colFirst="0" w:colLast="0"/>
      <w:bookmarkEnd w:id="11"/>
      <w:r w:rsidRPr="001A0320">
        <w:rPr>
          <w:b w:val="0"/>
          <w:sz w:val="24"/>
          <w:szCs w:val="24"/>
        </w:rPr>
        <w:t xml:space="preserve">Garante que a quantidade total utilizada de cada matéria-prima </w:t>
      </w:r>
      <m:oMath>
        <m:r>
          <m:rPr>
            <m:sty m:val="bi"/>
          </m:rPr>
          <w:rPr>
            <w:rFonts w:ascii="Cambria Math" w:hAnsi="Cambria Math"/>
            <w:sz w:val="24"/>
            <w:szCs w:val="24"/>
          </w:rPr>
          <m:t>i</m:t>
        </m:r>
      </m:oMath>
      <w:r w:rsidRPr="001A0320">
        <w:rPr>
          <w:b w:val="0"/>
          <w:sz w:val="24"/>
          <w:szCs w:val="24"/>
        </w:rPr>
        <w:t xml:space="preserve"> não ultrapasse o estoque disponível. Trata-se de uma restrição prática, pois reflete a disponibilidade real de recursos da siderúrgica, evitando que a solução proposta seja inviável na prática.</w:t>
      </w:r>
    </w:p>
    <w:p w:rsidR="001A0320" w:rsidRPr="001A0320" w:rsidRDefault="001A0320" w:rsidP="001A0320"/>
    <w:p w:rsidR="00E47FDD" w:rsidRPr="001A0320" w:rsidRDefault="00E4422C" w:rsidP="001A0320">
      <w:pPr>
        <w:pStyle w:val="Ttulo2"/>
        <w:spacing w:before="240"/>
        <w:jc w:val="left"/>
        <w:rPr>
          <w:b w:val="0"/>
          <w:sz w:val="24"/>
          <w:szCs w:val="24"/>
        </w:rPr>
      </w:pPr>
      <w:r>
        <w:rPr>
          <w:sz w:val="26"/>
          <w:szCs w:val="26"/>
        </w:rPr>
        <w:t>3. Descrição das instâncias</w:t>
      </w:r>
    </w:p>
    <w:p w:rsidR="00E47FDD" w:rsidRDefault="00E4422C">
      <w:pPr>
        <w:pStyle w:val="Ttulo3"/>
        <w:spacing w:before="240"/>
        <w:jc w:val="left"/>
        <w:rPr>
          <w:sz w:val="24"/>
          <w:szCs w:val="24"/>
        </w:rPr>
      </w:pPr>
      <w:bookmarkStart w:id="12" w:name="_pdkijlpjgyd" w:colFirst="0" w:colLast="0"/>
      <w:bookmarkEnd w:id="12"/>
      <w:r>
        <w:rPr>
          <w:sz w:val="24"/>
          <w:szCs w:val="24"/>
        </w:rPr>
        <w:t>3.1. Estoque</w:t>
      </w:r>
    </w:p>
    <w:p w:rsidR="00137C7C" w:rsidRDefault="00137C7C" w:rsidP="00137C7C">
      <w:pPr>
        <w:jc w:val="center"/>
      </w:pPr>
      <w:r>
        <w:rPr>
          <w:rFonts w:ascii="Helvetica Neue" w:eastAsia="Helvetica Neue" w:hAnsi="Helvetica Neue" w:cs="Helvetica Neue"/>
          <w:b/>
          <w:sz w:val="20"/>
          <w:szCs w:val="20"/>
        </w:rPr>
        <w:t xml:space="preserve">Tabela 3. </w:t>
      </w:r>
      <w:r>
        <w:rPr>
          <w:rFonts w:ascii="Helvetica Neue" w:eastAsia="Helvetica Neue" w:hAnsi="Helvetica Neue" w:cs="Helvetica Neue"/>
          <w:sz w:val="20"/>
          <w:szCs w:val="20"/>
        </w:rPr>
        <w:t>Estoque total de cada matéria-prima.</w:t>
      </w:r>
    </w:p>
    <w:tbl>
      <w:tblPr>
        <w:tblStyle w:val="Tabelacomgrade"/>
        <w:tblW w:w="5000" w:type="pct"/>
        <w:tblLook w:val="04A0" w:firstRow="1" w:lastRow="0" w:firstColumn="1" w:lastColumn="0" w:noHBand="0" w:noVBand="1"/>
      </w:tblPr>
      <w:tblGrid>
        <w:gridCol w:w="4353"/>
        <w:gridCol w:w="4142"/>
      </w:tblGrid>
      <w:tr w:rsidR="00137C7C" w:rsidRPr="00137C7C" w:rsidTr="00137C7C">
        <w:trPr>
          <w:trHeight w:val="397"/>
        </w:trPr>
        <w:tc>
          <w:tcPr>
            <w:tcW w:w="2562" w:type="pct"/>
            <w:shd w:val="clear" w:color="auto" w:fill="D9D9D9" w:themeFill="background1" w:themeFillShade="D9"/>
            <w:vAlign w:val="center"/>
          </w:tcPr>
          <w:p w:rsidR="00137C7C" w:rsidRPr="00137C7C" w:rsidRDefault="00137C7C" w:rsidP="00137C7C">
            <w:pPr>
              <w:jc w:val="center"/>
              <w:rPr>
                <w:rFonts w:ascii="Arial" w:hAnsi="Arial" w:cs="Arial"/>
                <w:szCs w:val="22"/>
              </w:rPr>
            </w:pPr>
            <w:r w:rsidRPr="00137C7C">
              <w:rPr>
                <w:rFonts w:ascii="Arial" w:hAnsi="Arial" w:cs="Arial"/>
                <w:szCs w:val="22"/>
              </w:rPr>
              <w:t>Matéria-prima</w:t>
            </w:r>
          </w:p>
        </w:tc>
        <w:tc>
          <w:tcPr>
            <w:tcW w:w="2438" w:type="pct"/>
            <w:shd w:val="clear" w:color="auto" w:fill="D9D9D9" w:themeFill="background1" w:themeFillShade="D9"/>
            <w:vAlign w:val="center"/>
          </w:tcPr>
          <w:p w:rsidR="00137C7C" w:rsidRPr="00137C7C" w:rsidRDefault="00137C7C" w:rsidP="00137C7C">
            <w:pPr>
              <w:jc w:val="center"/>
              <w:rPr>
                <w:rFonts w:ascii="Arial" w:hAnsi="Arial" w:cs="Arial"/>
                <w:szCs w:val="22"/>
              </w:rPr>
            </w:pPr>
            <w:r w:rsidRPr="00137C7C">
              <w:rPr>
                <w:rFonts w:ascii="Arial" w:hAnsi="Arial" w:cs="Arial"/>
                <w:szCs w:val="22"/>
              </w:rPr>
              <w:t>Estoque (kg)</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Areia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Bauxita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Braunita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200.000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Brucita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Calcita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500.00</w:t>
            </w:r>
            <w:r w:rsidR="00A951E3">
              <w:rPr>
                <w:rFonts w:ascii="Arial" w:hAnsi="Arial" w:cs="Arial"/>
                <w:szCs w:val="22"/>
              </w:rPr>
              <w:t>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Corindon</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Dolomita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500.000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Goethita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Hematita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Itabirito</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Magnesita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Magnetita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Pirolusita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Quartzo</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1.000.000</w:t>
            </w:r>
          </w:p>
        </w:tc>
      </w:tr>
      <w:tr w:rsidR="00137C7C" w:rsidRPr="00137C7C" w:rsidTr="00137C7C">
        <w:trPr>
          <w:trHeight w:val="397"/>
        </w:trPr>
        <w:tc>
          <w:tcPr>
            <w:tcW w:w="2562"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Rhodocrosita</w:t>
            </w:r>
          </w:p>
        </w:tc>
        <w:tc>
          <w:tcPr>
            <w:tcW w:w="2438" w:type="pct"/>
            <w:vAlign w:val="center"/>
          </w:tcPr>
          <w:p w:rsidR="00137C7C" w:rsidRPr="00137C7C" w:rsidRDefault="00137C7C" w:rsidP="00137C7C">
            <w:pPr>
              <w:jc w:val="center"/>
              <w:rPr>
                <w:rFonts w:ascii="Arial" w:hAnsi="Arial" w:cs="Arial"/>
                <w:szCs w:val="22"/>
              </w:rPr>
            </w:pPr>
            <w:r w:rsidRPr="00137C7C">
              <w:rPr>
                <w:rFonts w:ascii="Arial" w:hAnsi="Arial" w:cs="Arial"/>
                <w:szCs w:val="22"/>
              </w:rPr>
              <w:t>300.000</w:t>
            </w:r>
          </w:p>
        </w:tc>
      </w:tr>
    </w:tbl>
    <w:p w:rsidR="00137C7C" w:rsidRDefault="00137C7C" w:rsidP="00137C7C"/>
    <w:p w:rsidR="00E4422C" w:rsidRDefault="00E4422C" w:rsidP="00137C7C"/>
    <w:p w:rsidR="00E4422C" w:rsidRDefault="00E4422C" w:rsidP="00137C7C"/>
    <w:p w:rsidR="00E4422C" w:rsidRPr="00137C7C" w:rsidRDefault="00E4422C" w:rsidP="00137C7C"/>
    <w:p w:rsidR="00E47FDD" w:rsidRDefault="00E4422C">
      <w:pPr>
        <w:pStyle w:val="Ttulo3"/>
        <w:spacing w:before="240"/>
        <w:jc w:val="left"/>
        <w:rPr>
          <w:sz w:val="24"/>
          <w:szCs w:val="24"/>
        </w:rPr>
      </w:pPr>
      <w:bookmarkStart w:id="13" w:name="_8r3fuhjckigj" w:colFirst="0" w:colLast="0"/>
      <w:bookmarkEnd w:id="13"/>
      <w:r>
        <w:rPr>
          <w:sz w:val="24"/>
          <w:szCs w:val="24"/>
        </w:rPr>
        <w:lastRenderedPageBreak/>
        <w:t>3.2. Composição Química</w:t>
      </w:r>
    </w:p>
    <w:p w:rsidR="00E4422C" w:rsidRDefault="00A951E3" w:rsidP="00E4422C">
      <w:pPr>
        <w:jc w:val="center"/>
      </w:pPr>
      <w:r>
        <w:rPr>
          <w:rFonts w:ascii="Helvetica Neue" w:eastAsia="Helvetica Neue" w:hAnsi="Helvetica Neue" w:cs="Helvetica Neue"/>
          <w:b/>
          <w:sz w:val="20"/>
          <w:szCs w:val="20"/>
        </w:rPr>
        <w:t>Tabela 4</w:t>
      </w:r>
      <w:r w:rsidR="00E4422C">
        <w:rPr>
          <w:rFonts w:ascii="Helvetica Neue" w:eastAsia="Helvetica Neue" w:hAnsi="Helvetica Neue" w:cs="Helvetica Neue"/>
          <w:b/>
          <w:sz w:val="20"/>
          <w:szCs w:val="20"/>
        </w:rPr>
        <w:t xml:space="preserve">. </w:t>
      </w:r>
      <w:r w:rsidR="00E4422C">
        <w:rPr>
          <w:rFonts w:ascii="Helvetica Neue" w:eastAsia="Helvetica Neue" w:hAnsi="Helvetica Neue" w:cs="Helvetica Neue"/>
          <w:sz w:val="20"/>
          <w:szCs w:val="20"/>
        </w:rPr>
        <w:t>Composição química (%) de cada elemento químico.</w:t>
      </w:r>
    </w:p>
    <w:tbl>
      <w:tblPr>
        <w:tblStyle w:val="Tabelacomgrade"/>
        <w:tblW w:w="5000" w:type="pct"/>
        <w:tblLook w:val="04A0" w:firstRow="1" w:lastRow="0" w:firstColumn="1" w:lastColumn="0" w:noHBand="0" w:noVBand="1"/>
      </w:tblPr>
      <w:tblGrid>
        <w:gridCol w:w="1632"/>
        <w:gridCol w:w="1284"/>
        <w:gridCol w:w="1116"/>
        <w:gridCol w:w="1116"/>
        <w:gridCol w:w="1116"/>
        <w:gridCol w:w="1116"/>
        <w:gridCol w:w="1115"/>
      </w:tblGrid>
      <w:tr w:rsidR="00E4422C" w:rsidRPr="00137C7C" w:rsidTr="00E4422C">
        <w:trPr>
          <w:trHeight w:val="340"/>
        </w:trPr>
        <w:tc>
          <w:tcPr>
            <w:tcW w:w="960"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Matéria-prima</w:t>
            </w:r>
          </w:p>
        </w:tc>
        <w:tc>
          <w:tcPr>
            <w:tcW w:w="756"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SiO2</w:t>
            </w:r>
          </w:p>
        </w:tc>
        <w:tc>
          <w:tcPr>
            <w:tcW w:w="657"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CaO</w:t>
            </w:r>
          </w:p>
        </w:tc>
        <w:tc>
          <w:tcPr>
            <w:tcW w:w="657"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MgO</w:t>
            </w:r>
          </w:p>
        </w:tc>
        <w:tc>
          <w:tcPr>
            <w:tcW w:w="657"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Fe</w:t>
            </w:r>
          </w:p>
        </w:tc>
        <w:tc>
          <w:tcPr>
            <w:tcW w:w="657"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Al2O3</w:t>
            </w:r>
          </w:p>
        </w:tc>
        <w:tc>
          <w:tcPr>
            <w:tcW w:w="656" w:type="pct"/>
            <w:shd w:val="clear" w:color="auto" w:fill="D9D9D9" w:themeFill="background1" w:themeFillShade="D9"/>
            <w:vAlign w:val="center"/>
          </w:tcPr>
          <w:p w:rsidR="00E4422C" w:rsidRPr="00E4422C" w:rsidRDefault="00E4422C" w:rsidP="00E4422C">
            <w:pPr>
              <w:jc w:val="center"/>
              <w:rPr>
                <w:rFonts w:ascii="Arial" w:hAnsi="Arial" w:cs="Arial"/>
                <w:sz w:val="20"/>
              </w:rPr>
            </w:pPr>
            <w:r w:rsidRPr="00E4422C">
              <w:rPr>
                <w:rFonts w:ascii="Arial" w:hAnsi="Arial" w:cs="Arial"/>
                <w:sz w:val="20"/>
              </w:rPr>
              <w:t>Mn</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Areia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95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1</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1</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1</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1</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Bauxita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10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Braunita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11</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60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Brucita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69</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Calcita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Corindon</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99</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Dolomita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30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22</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Goethita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63</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Hematita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70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Itabirito</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10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60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5</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Magnesita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48</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Magnetita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72</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Pirolusita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63</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Quartzo</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99</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r>
      <w:tr w:rsidR="00E4422C" w:rsidRPr="00137C7C" w:rsidTr="00E4422C">
        <w:trPr>
          <w:trHeight w:val="340"/>
        </w:trPr>
        <w:tc>
          <w:tcPr>
            <w:tcW w:w="960" w:type="pct"/>
            <w:vAlign w:val="center"/>
          </w:tcPr>
          <w:p w:rsidR="00E4422C" w:rsidRPr="00E4422C" w:rsidRDefault="00E4422C" w:rsidP="00E4422C">
            <w:pPr>
              <w:jc w:val="center"/>
              <w:rPr>
                <w:rFonts w:ascii="Arial" w:hAnsi="Arial" w:cs="Arial"/>
                <w:sz w:val="20"/>
              </w:rPr>
            </w:pPr>
            <w:r w:rsidRPr="00E4422C">
              <w:rPr>
                <w:rFonts w:ascii="Arial" w:hAnsi="Arial" w:cs="Arial"/>
                <w:sz w:val="20"/>
              </w:rPr>
              <w:t>Rhodocrosita</w:t>
            </w:r>
          </w:p>
        </w:tc>
        <w:tc>
          <w:tcPr>
            <w:tcW w:w="7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7" w:type="pct"/>
            <w:vAlign w:val="center"/>
          </w:tcPr>
          <w:p w:rsidR="00E4422C" w:rsidRPr="00E4422C" w:rsidRDefault="00E4422C" w:rsidP="00E4422C">
            <w:pPr>
              <w:jc w:val="center"/>
              <w:rPr>
                <w:rFonts w:ascii="Arial" w:hAnsi="Arial" w:cs="Arial"/>
                <w:sz w:val="20"/>
              </w:rPr>
            </w:pPr>
            <w:r w:rsidRPr="00E4422C">
              <w:rPr>
                <w:rFonts w:ascii="Arial" w:hAnsi="Arial" w:cs="Arial"/>
                <w:sz w:val="20"/>
              </w:rPr>
              <w:t>0</w:t>
            </w:r>
          </w:p>
        </w:tc>
        <w:tc>
          <w:tcPr>
            <w:tcW w:w="656" w:type="pct"/>
            <w:vAlign w:val="center"/>
          </w:tcPr>
          <w:p w:rsidR="00E4422C" w:rsidRPr="00E4422C" w:rsidRDefault="00E4422C" w:rsidP="00E4422C">
            <w:pPr>
              <w:jc w:val="center"/>
              <w:rPr>
                <w:rFonts w:ascii="Arial" w:hAnsi="Arial" w:cs="Arial"/>
                <w:sz w:val="20"/>
              </w:rPr>
            </w:pPr>
            <w:r w:rsidRPr="00E4422C">
              <w:rPr>
                <w:rFonts w:ascii="Arial" w:hAnsi="Arial" w:cs="Arial"/>
                <w:sz w:val="20"/>
              </w:rPr>
              <w:t>47</w:t>
            </w:r>
          </w:p>
        </w:tc>
      </w:tr>
    </w:tbl>
    <w:p w:rsidR="00E47FDD" w:rsidRDefault="00E47FDD"/>
    <w:p w:rsidR="00E47FDD" w:rsidRDefault="00E4422C">
      <w:pPr>
        <w:pStyle w:val="Ttulo3"/>
        <w:spacing w:before="240"/>
        <w:jc w:val="left"/>
        <w:rPr>
          <w:sz w:val="24"/>
          <w:szCs w:val="24"/>
        </w:rPr>
      </w:pPr>
      <w:bookmarkStart w:id="14" w:name="_x9v1zdz7ziut" w:colFirst="0" w:colLast="0"/>
      <w:bookmarkEnd w:id="14"/>
      <w:r>
        <w:rPr>
          <w:sz w:val="24"/>
          <w:szCs w:val="24"/>
        </w:rPr>
        <w:t>3.3. Limites de Concentração</w:t>
      </w:r>
    </w:p>
    <w:p w:rsidR="00A951E3" w:rsidRDefault="00A951E3" w:rsidP="00A951E3">
      <w:pPr>
        <w:jc w:val="center"/>
      </w:pPr>
      <w:r>
        <w:rPr>
          <w:rFonts w:ascii="Helvetica Neue" w:eastAsia="Helvetica Neue" w:hAnsi="Helvetica Neue" w:cs="Helvetica Neue"/>
          <w:b/>
          <w:sz w:val="20"/>
          <w:szCs w:val="20"/>
        </w:rPr>
        <w:t xml:space="preserve">Tabela 5. </w:t>
      </w:r>
      <w:r>
        <w:rPr>
          <w:rFonts w:ascii="Helvetica Neue" w:eastAsia="Helvetica Neue" w:hAnsi="Helvetica Neue" w:cs="Helvetica Neue"/>
          <w:sz w:val="20"/>
          <w:szCs w:val="20"/>
        </w:rPr>
        <w:t>Limites de concentração (%) para cada elemento químico.</w:t>
      </w:r>
    </w:p>
    <w:tbl>
      <w:tblPr>
        <w:tblStyle w:val="Tabelacomgrade"/>
        <w:tblW w:w="5000" w:type="pct"/>
        <w:tblLook w:val="04A0" w:firstRow="1" w:lastRow="0" w:firstColumn="1" w:lastColumn="0" w:noHBand="0" w:noVBand="1"/>
      </w:tblPr>
      <w:tblGrid>
        <w:gridCol w:w="3439"/>
        <w:gridCol w:w="2705"/>
        <w:gridCol w:w="2351"/>
      </w:tblGrid>
      <w:tr w:rsidR="00A951E3" w:rsidRPr="00137C7C" w:rsidTr="00A951E3">
        <w:trPr>
          <w:trHeight w:val="340"/>
        </w:trPr>
        <w:tc>
          <w:tcPr>
            <w:tcW w:w="2024"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Elemento Químico</w:t>
            </w:r>
          </w:p>
        </w:tc>
        <w:tc>
          <w:tcPr>
            <w:tcW w:w="1592"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Inferior</w:t>
            </w:r>
          </w:p>
        </w:tc>
        <w:tc>
          <w:tcPr>
            <w:tcW w:w="1384"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Superior</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SiO2</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4</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9</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CaO</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2</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8</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MgO</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1</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3</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Fe</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55</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65</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Al2O3</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0,5</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2</w:t>
            </w:r>
          </w:p>
        </w:tc>
      </w:tr>
      <w:tr w:rsidR="00A951E3" w:rsidRPr="00137C7C" w:rsidTr="00A951E3">
        <w:trPr>
          <w:trHeight w:val="340"/>
        </w:trPr>
        <w:tc>
          <w:tcPr>
            <w:tcW w:w="2024" w:type="pct"/>
            <w:vAlign w:val="center"/>
          </w:tcPr>
          <w:p w:rsidR="00A951E3" w:rsidRPr="00E4422C" w:rsidRDefault="00A951E3" w:rsidP="00EF160E">
            <w:pPr>
              <w:jc w:val="center"/>
              <w:rPr>
                <w:rFonts w:ascii="Arial" w:hAnsi="Arial" w:cs="Arial"/>
                <w:sz w:val="20"/>
              </w:rPr>
            </w:pPr>
            <w:r w:rsidRPr="00E4422C">
              <w:rPr>
                <w:rFonts w:ascii="Arial" w:hAnsi="Arial" w:cs="Arial"/>
                <w:sz w:val="20"/>
              </w:rPr>
              <w:t>Mn</w:t>
            </w:r>
          </w:p>
        </w:tc>
        <w:tc>
          <w:tcPr>
            <w:tcW w:w="1592" w:type="pct"/>
            <w:vAlign w:val="center"/>
          </w:tcPr>
          <w:p w:rsidR="00A951E3" w:rsidRPr="00E4422C" w:rsidRDefault="00A951E3" w:rsidP="00EF160E">
            <w:pPr>
              <w:jc w:val="center"/>
              <w:rPr>
                <w:rFonts w:ascii="Arial" w:hAnsi="Arial" w:cs="Arial"/>
                <w:sz w:val="20"/>
              </w:rPr>
            </w:pPr>
            <w:r>
              <w:rPr>
                <w:rFonts w:ascii="Arial" w:hAnsi="Arial" w:cs="Arial"/>
                <w:sz w:val="20"/>
              </w:rPr>
              <w:t>0,2</w:t>
            </w:r>
          </w:p>
        </w:tc>
        <w:tc>
          <w:tcPr>
            <w:tcW w:w="1384" w:type="pct"/>
            <w:vAlign w:val="center"/>
          </w:tcPr>
          <w:p w:rsidR="00A951E3" w:rsidRPr="00E4422C" w:rsidRDefault="00A951E3" w:rsidP="00EF160E">
            <w:pPr>
              <w:jc w:val="center"/>
              <w:rPr>
                <w:rFonts w:ascii="Arial" w:hAnsi="Arial" w:cs="Arial"/>
                <w:sz w:val="20"/>
              </w:rPr>
            </w:pPr>
            <w:r>
              <w:rPr>
                <w:rFonts w:ascii="Arial" w:hAnsi="Arial" w:cs="Arial"/>
                <w:sz w:val="20"/>
              </w:rPr>
              <w:t>2</w:t>
            </w:r>
          </w:p>
        </w:tc>
      </w:tr>
    </w:tbl>
    <w:p w:rsidR="00A951E3" w:rsidRPr="00A951E3" w:rsidRDefault="00A951E3" w:rsidP="00A951E3"/>
    <w:p w:rsidR="00E47FDD" w:rsidRDefault="007B6CC0">
      <w:pPr>
        <w:pStyle w:val="Ttulo3"/>
        <w:spacing w:before="240"/>
        <w:jc w:val="left"/>
        <w:rPr>
          <w:sz w:val="24"/>
          <w:szCs w:val="24"/>
        </w:rPr>
      </w:pPr>
      <w:bookmarkStart w:id="15" w:name="_1ack0d6t1eep" w:colFirst="0" w:colLast="0"/>
      <w:bookmarkEnd w:id="15"/>
      <w:r>
        <w:rPr>
          <w:sz w:val="24"/>
          <w:szCs w:val="24"/>
        </w:rPr>
        <w:t>3.4</w:t>
      </w:r>
      <w:r w:rsidR="00E4422C">
        <w:rPr>
          <w:sz w:val="24"/>
          <w:szCs w:val="24"/>
        </w:rPr>
        <w:t>. Limites de Peso</w:t>
      </w:r>
    </w:p>
    <w:p w:rsidR="00A951E3" w:rsidRDefault="00A951E3" w:rsidP="00A951E3">
      <w:pPr>
        <w:jc w:val="center"/>
      </w:pPr>
      <w:r>
        <w:rPr>
          <w:rFonts w:ascii="Helvetica Neue" w:eastAsia="Helvetica Neue" w:hAnsi="Helvetica Neue" w:cs="Helvetica Neue"/>
          <w:b/>
          <w:sz w:val="20"/>
          <w:szCs w:val="20"/>
        </w:rPr>
        <w:t xml:space="preserve">Tabela 6. </w:t>
      </w:r>
      <w:r>
        <w:rPr>
          <w:rFonts w:ascii="Helvetica Neue" w:eastAsia="Helvetica Neue" w:hAnsi="Helvetica Neue" w:cs="Helvetica Neue"/>
          <w:sz w:val="20"/>
          <w:szCs w:val="20"/>
        </w:rPr>
        <w:t>Limites inferior e superior de massa (kg) da balança.</w:t>
      </w:r>
    </w:p>
    <w:tbl>
      <w:tblPr>
        <w:tblStyle w:val="Tabelacomgrade"/>
        <w:tblW w:w="5000" w:type="pct"/>
        <w:tblLook w:val="04A0" w:firstRow="1" w:lastRow="0" w:firstColumn="1" w:lastColumn="0" w:noHBand="0" w:noVBand="1"/>
      </w:tblPr>
      <w:tblGrid>
        <w:gridCol w:w="4756"/>
        <w:gridCol w:w="3739"/>
      </w:tblGrid>
      <w:tr w:rsidR="00A951E3" w:rsidRPr="00137C7C" w:rsidTr="00A951E3">
        <w:trPr>
          <w:trHeight w:val="340"/>
        </w:trPr>
        <w:tc>
          <w:tcPr>
            <w:tcW w:w="2799"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Inferior (LIb)</w:t>
            </w:r>
          </w:p>
        </w:tc>
        <w:tc>
          <w:tcPr>
            <w:tcW w:w="2201" w:type="pct"/>
            <w:shd w:val="clear" w:color="auto" w:fill="D9D9D9" w:themeFill="background1" w:themeFillShade="D9"/>
            <w:vAlign w:val="center"/>
          </w:tcPr>
          <w:p w:rsidR="00A951E3" w:rsidRPr="00E4422C" w:rsidRDefault="00A951E3" w:rsidP="00A951E3">
            <w:pPr>
              <w:jc w:val="center"/>
              <w:rPr>
                <w:rFonts w:ascii="Arial" w:hAnsi="Arial" w:cs="Arial"/>
                <w:sz w:val="20"/>
              </w:rPr>
            </w:pPr>
            <w:r>
              <w:rPr>
                <w:rFonts w:ascii="Arial" w:hAnsi="Arial" w:cs="Arial"/>
                <w:sz w:val="20"/>
              </w:rPr>
              <w:t>Limite Superior (LSb)</w:t>
            </w:r>
          </w:p>
        </w:tc>
      </w:tr>
      <w:tr w:rsidR="00A951E3" w:rsidRPr="00137C7C" w:rsidTr="00A951E3">
        <w:trPr>
          <w:trHeight w:val="340"/>
        </w:trPr>
        <w:tc>
          <w:tcPr>
            <w:tcW w:w="2799" w:type="pct"/>
            <w:vAlign w:val="center"/>
          </w:tcPr>
          <w:p w:rsidR="00A951E3" w:rsidRPr="00E4422C" w:rsidRDefault="00A951E3" w:rsidP="00EF160E">
            <w:pPr>
              <w:jc w:val="center"/>
              <w:rPr>
                <w:rFonts w:ascii="Arial" w:hAnsi="Arial" w:cs="Arial"/>
                <w:sz w:val="20"/>
              </w:rPr>
            </w:pPr>
            <w:r>
              <w:rPr>
                <w:rFonts w:ascii="Arial" w:hAnsi="Arial" w:cs="Arial"/>
                <w:sz w:val="20"/>
              </w:rPr>
              <w:t>100.000</w:t>
            </w:r>
          </w:p>
        </w:tc>
        <w:tc>
          <w:tcPr>
            <w:tcW w:w="2201" w:type="pct"/>
            <w:vAlign w:val="center"/>
          </w:tcPr>
          <w:p w:rsidR="00A951E3" w:rsidRPr="00E4422C" w:rsidRDefault="00A951E3" w:rsidP="00EF160E">
            <w:pPr>
              <w:jc w:val="center"/>
              <w:rPr>
                <w:rFonts w:ascii="Arial" w:hAnsi="Arial" w:cs="Arial"/>
                <w:sz w:val="20"/>
              </w:rPr>
            </w:pPr>
            <w:r>
              <w:rPr>
                <w:rFonts w:ascii="Arial" w:hAnsi="Arial" w:cs="Arial"/>
                <w:sz w:val="20"/>
              </w:rPr>
              <w:t>5.000.000</w:t>
            </w:r>
          </w:p>
        </w:tc>
      </w:tr>
    </w:tbl>
    <w:p w:rsidR="00A951E3" w:rsidRDefault="00A951E3" w:rsidP="00A951E3">
      <w:pPr>
        <w:jc w:val="center"/>
      </w:pPr>
      <w:r>
        <w:rPr>
          <w:rFonts w:ascii="Helvetica Neue" w:eastAsia="Helvetica Neue" w:hAnsi="Helvetica Neue" w:cs="Helvetica Neue"/>
          <w:b/>
          <w:sz w:val="20"/>
          <w:szCs w:val="20"/>
        </w:rPr>
        <w:t xml:space="preserve">Tabela 7. </w:t>
      </w:r>
      <w:r>
        <w:rPr>
          <w:rFonts w:ascii="Helvetica Neue" w:eastAsia="Helvetica Neue" w:hAnsi="Helvetica Neue" w:cs="Helvetica Neue"/>
          <w:sz w:val="20"/>
          <w:szCs w:val="20"/>
        </w:rPr>
        <w:t>Limites inferior e superior de massa (kg) do pacote.</w:t>
      </w:r>
    </w:p>
    <w:tbl>
      <w:tblPr>
        <w:tblStyle w:val="Tabelacomgrade"/>
        <w:tblW w:w="5000" w:type="pct"/>
        <w:tblLook w:val="04A0" w:firstRow="1" w:lastRow="0" w:firstColumn="1" w:lastColumn="0" w:noHBand="0" w:noVBand="1"/>
      </w:tblPr>
      <w:tblGrid>
        <w:gridCol w:w="4756"/>
        <w:gridCol w:w="3739"/>
      </w:tblGrid>
      <w:tr w:rsidR="00A951E3" w:rsidRPr="00137C7C" w:rsidTr="00EF160E">
        <w:trPr>
          <w:trHeight w:val="340"/>
        </w:trPr>
        <w:tc>
          <w:tcPr>
            <w:tcW w:w="2799"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Inferior (LIp)</w:t>
            </w:r>
          </w:p>
        </w:tc>
        <w:tc>
          <w:tcPr>
            <w:tcW w:w="2201" w:type="pct"/>
            <w:shd w:val="clear" w:color="auto" w:fill="D9D9D9" w:themeFill="background1" w:themeFillShade="D9"/>
            <w:vAlign w:val="center"/>
          </w:tcPr>
          <w:p w:rsidR="00A951E3" w:rsidRPr="00E4422C" w:rsidRDefault="00A951E3" w:rsidP="00EF160E">
            <w:pPr>
              <w:jc w:val="center"/>
              <w:rPr>
                <w:rFonts w:ascii="Arial" w:hAnsi="Arial" w:cs="Arial"/>
                <w:sz w:val="20"/>
              </w:rPr>
            </w:pPr>
            <w:r>
              <w:rPr>
                <w:rFonts w:ascii="Arial" w:hAnsi="Arial" w:cs="Arial"/>
                <w:sz w:val="20"/>
              </w:rPr>
              <w:t>Limite Superior (LSp)</w:t>
            </w:r>
          </w:p>
        </w:tc>
      </w:tr>
      <w:tr w:rsidR="00A951E3" w:rsidRPr="00137C7C" w:rsidTr="00EF160E">
        <w:trPr>
          <w:trHeight w:val="340"/>
        </w:trPr>
        <w:tc>
          <w:tcPr>
            <w:tcW w:w="2799" w:type="pct"/>
            <w:vAlign w:val="center"/>
          </w:tcPr>
          <w:p w:rsidR="00A951E3" w:rsidRPr="00E4422C" w:rsidRDefault="00A951E3" w:rsidP="00EF160E">
            <w:pPr>
              <w:jc w:val="center"/>
              <w:rPr>
                <w:rFonts w:ascii="Arial" w:hAnsi="Arial" w:cs="Arial"/>
                <w:sz w:val="20"/>
              </w:rPr>
            </w:pPr>
            <w:r>
              <w:rPr>
                <w:rFonts w:ascii="Arial" w:hAnsi="Arial" w:cs="Arial"/>
                <w:sz w:val="20"/>
              </w:rPr>
              <w:t>3.000.000</w:t>
            </w:r>
          </w:p>
        </w:tc>
        <w:tc>
          <w:tcPr>
            <w:tcW w:w="2201" w:type="pct"/>
            <w:vAlign w:val="center"/>
          </w:tcPr>
          <w:p w:rsidR="00A951E3" w:rsidRPr="00E4422C" w:rsidRDefault="00A951E3" w:rsidP="00EF160E">
            <w:pPr>
              <w:jc w:val="center"/>
              <w:rPr>
                <w:rFonts w:ascii="Arial" w:hAnsi="Arial" w:cs="Arial"/>
                <w:sz w:val="20"/>
              </w:rPr>
            </w:pPr>
            <w:r>
              <w:rPr>
                <w:rFonts w:ascii="Arial" w:hAnsi="Arial" w:cs="Arial"/>
                <w:sz w:val="20"/>
              </w:rPr>
              <w:t>8.500.000</w:t>
            </w:r>
          </w:p>
        </w:tc>
      </w:tr>
    </w:tbl>
    <w:p w:rsidR="007B6CC0" w:rsidRDefault="007B6CC0" w:rsidP="007B6CC0">
      <w:pPr>
        <w:pStyle w:val="Ttulo3"/>
        <w:spacing w:before="240"/>
        <w:jc w:val="left"/>
        <w:rPr>
          <w:sz w:val="24"/>
          <w:szCs w:val="24"/>
        </w:rPr>
      </w:pPr>
      <w:r>
        <w:rPr>
          <w:sz w:val="24"/>
          <w:szCs w:val="24"/>
        </w:rPr>
        <w:lastRenderedPageBreak/>
        <w:t>3.5. Máximo de matérias-primas</w:t>
      </w:r>
    </w:p>
    <w:p w:rsidR="007B6CC0" w:rsidRDefault="007B6CC0" w:rsidP="007B6CC0">
      <w:pPr>
        <w:jc w:val="center"/>
      </w:pPr>
      <w:r>
        <w:rPr>
          <w:rFonts w:ascii="Helvetica Neue" w:eastAsia="Helvetica Neue" w:hAnsi="Helvetica Neue" w:cs="Helvetica Neue"/>
          <w:b/>
          <w:sz w:val="20"/>
          <w:szCs w:val="20"/>
        </w:rPr>
        <w:t xml:space="preserve">Tabela 8. </w:t>
      </w:r>
      <w:r w:rsidRPr="007B6CC0">
        <w:rPr>
          <w:rFonts w:ascii="Helvetica Neue" w:eastAsia="Helvetica Neue" w:hAnsi="Helvetica Neue" w:cs="Helvetica Neue"/>
          <w:sz w:val="20"/>
          <w:szCs w:val="20"/>
        </w:rPr>
        <w:t>Quantidade máxima de tipos de elemento químico permitidos por pacote.</w:t>
      </w:r>
    </w:p>
    <w:tbl>
      <w:tblPr>
        <w:tblStyle w:val="Tabelacomgrade"/>
        <w:tblW w:w="5000" w:type="pct"/>
        <w:tblLook w:val="04A0" w:firstRow="1" w:lastRow="0" w:firstColumn="1" w:lastColumn="0" w:noHBand="0" w:noVBand="1"/>
      </w:tblPr>
      <w:tblGrid>
        <w:gridCol w:w="4754"/>
        <w:gridCol w:w="3741"/>
      </w:tblGrid>
      <w:tr w:rsidR="007B6CC0" w:rsidRPr="00137C7C" w:rsidTr="007B6CC0">
        <w:trPr>
          <w:trHeight w:val="340"/>
        </w:trPr>
        <w:tc>
          <w:tcPr>
            <w:tcW w:w="2798" w:type="pct"/>
            <w:shd w:val="clear" w:color="auto" w:fill="FFFFFF" w:themeFill="background1"/>
            <w:vAlign w:val="center"/>
          </w:tcPr>
          <w:p w:rsidR="007B6CC0" w:rsidRPr="00E4422C" w:rsidRDefault="007B6CC0" w:rsidP="00EF160E">
            <w:pPr>
              <w:jc w:val="center"/>
              <w:rPr>
                <w:rFonts w:ascii="Arial" w:hAnsi="Arial" w:cs="Arial"/>
                <w:sz w:val="20"/>
              </w:rPr>
            </w:pPr>
            <m:oMathPara>
              <m:oMath>
                <m:r>
                  <w:rPr>
                    <w:rFonts w:ascii="Cambria Math" w:eastAsia="Helvetica Neue" w:hAnsi="Cambria Math" w:cs="Helvetica Neue"/>
                  </w:rPr>
                  <m:t>MaxTiposPorPacote</m:t>
                </m:r>
              </m:oMath>
            </m:oMathPara>
          </w:p>
        </w:tc>
        <w:tc>
          <w:tcPr>
            <w:tcW w:w="2202" w:type="pct"/>
            <w:shd w:val="clear" w:color="auto" w:fill="FFFFFF" w:themeFill="background1"/>
            <w:vAlign w:val="center"/>
          </w:tcPr>
          <w:p w:rsidR="007B6CC0" w:rsidRPr="00E4422C" w:rsidRDefault="007B6CC0" w:rsidP="00EF160E">
            <w:pPr>
              <w:jc w:val="center"/>
              <w:rPr>
                <w:rFonts w:ascii="Arial" w:hAnsi="Arial" w:cs="Arial"/>
                <w:sz w:val="20"/>
              </w:rPr>
            </w:pPr>
            <w:r>
              <w:rPr>
                <w:rFonts w:ascii="Arial" w:hAnsi="Arial" w:cs="Arial"/>
                <w:sz w:val="20"/>
              </w:rPr>
              <w:t>5</w:t>
            </w:r>
          </w:p>
        </w:tc>
      </w:tr>
    </w:tbl>
    <w:p w:rsidR="007B6CC0" w:rsidRDefault="007B6CC0">
      <w:pPr>
        <w:keepNext/>
        <w:pBdr>
          <w:top w:val="nil"/>
          <w:left w:val="nil"/>
          <w:bottom w:val="nil"/>
          <w:right w:val="nil"/>
          <w:between w:val="nil"/>
        </w:pBdr>
        <w:spacing w:before="240"/>
        <w:jc w:val="left"/>
        <w:rPr>
          <w:b/>
          <w:color w:val="000000"/>
          <w:sz w:val="26"/>
          <w:szCs w:val="26"/>
        </w:rPr>
      </w:pPr>
    </w:p>
    <w:p w:rsidR="00E47FDD" w:rsidRDefault="00E4422C">
      <w:pPr>
        <w:keepNext/>
        <w:pBdr>
          <w:top w:val="nil"/>
          <w:left w:val="nil"/>
          <w:bottom w:val="nil"/>
          <w:right w:val="nil"/>
          <w:between w:val="nil"/>
        </w:pBdr>
        <w:spacing w:before="240"/>
        <w:jc w:val="left"/>
        <w:rPr>
          <w:b/>
          <w:color w:val="000000"/>
          <w:sz w:val="26"/>
          <w:szCs w:val="26"/>
        </w:rPr>
      </w:pPr>
      <w:r>
        <w:rPr>
          <w:b/>
          <w:color w:val="000000"/>
          <w:sz w:val="26"/>
          <w:szCs w:val="26"/>
        </w:rPr>
        <w:t xml:space="preserve">4. </w:t>
      </w:r>
      <w:r>
        <w:rPr>
          <w:b/>
          <w:sz w:val="26"/>
          <w:szCs w:val="26"/>
        </w:rPr>
        <w:t>Resultados</w:t>
      </w:r>
    </w:p>
    <w:p w:rsidR="00DC38A2" w:rsidRDefault="00DC38A2" w:rsidP="00DC38A2">
      <w:pPr>
        <w:pStyle w:val="Ttulo3"/>
        <w:spacing w:before="240"/>
        <w:jc w:val="left"/>
        <w:rPr>
          <w:sz w:val="24"/>
          <w:szCs w:val="24"/>
        </w:rPr>
      </w:pPr>
      <w:r>
        <w:rPr>
          <w:sz w:val="24"/>
          <w:szCs w:val="24"/>
        </w:rPr>
        <w:t>4.1. Simulação para 3 pacotes</w:t>
      </w:r>
    </w:p>
    <w:p w:rsidR="00EF160E" w:rsidRPr="00EF160E" w:rsidRDefault="00EF160E" w:rsidP="00EF160E">
      <w:pPr>
        <w:jc w:val="center"/>
      </w:pPr>
      <w:r>
        <w:rPr>
          <w:rFonts w:ascii="Helvetica Neue" w:eastAsia="Helvetica Neue" w:hAnsi="Helvetica Neue" w:cs="Helvetica Neue"/>
          <w:b/>
          <w:sz w:val="20"/>
          <w:szCs w:val="20"/>
        </w:rPr>
        <w:t xml:space="preserve">Tabela 9. </w:t>
      </w:r>
      <w:r w:rsidR="009B35C8">
        <w:rPr>
          <w:rFonts w:ascii="Helvetica Neue" w:eastAsia="Helvetica Neue" w:hAnsi="Helvetica Neue" w:cs="Helvetica Neue"/>
          <w:sz w:val="20"/>
          <w:szCs w:val="20"/>
        </w:rPr>
        <w:t>Receita pa</w:t>
      </w:r>
      <w:r>
        <w:rPr>
          <w:rFonts w:ascii="Helvetica Neue" w:eastAsia="Helvetica Neue" w:hAnsi="Helvetica Neue" w:cs="Helvetica Neue"/>
          <w:sz w:val="20"/>
          <w:szCs w:val="20"/>
        </w:rPr>
        <w:t>ra otimizar a produção de 3 pacotes</w:t>
      </w:r>
      <w:r w:rsidRPr="007B6CC0">
        <w:rPr>
          <w:rFonts w:ascii="Helvetica Neue" w:eastAsia="Helvetica Neue" w:hAnsi="Helvetica Neue" w:cs="Helvetica Neue"/>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19"/>
        <w:gridCol w:w="1692"/>
        <w:gridCol w:w="1692"/>
        <w:gridCol w:w="1692"/>
      </w:tblGrid>
      <w:tr w:rsidR="00EF160E" w:rsidRPr="00EF160E" w:rsidTr="00EF160E">
        <w:trPr>
          <w:trHeight w:val="397"/>
        </w:trPr>
        <w:tc>
          <w:tcPr>
            <w:tcW w:w="2012"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sz w:val="22"/>
                <w:szCs w:val="20"/>
              </w:rPr>
            </w:pP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
                <w:bCs/>
                <w:sz w:val="22"/>
                <w:szCs w:val="20"/>
              </w:rPr>
            </w:pPr>
            <w:r w:rsidRPr="00EF160E">
              <w:rPr>
                <w:rFonts w:ascii="Arial" w:eastAsia="Times New Roman" w:hAnsi="Arial" w:cs="Arial"/>
                <w:b/>
                <w:bCs/>
                <w:sz w:val="22"/>
                <w:szCs w:val="20"/>
              </w:rPr>
              <w:t>Pacote 1</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
                <w:bCs/>
                <w:sz w:val="22"/>
                <w:szCs w:val="20"/>
              </w:rPr>
            </w:pPr>
            <w:r w:rsidRPr="00EF160E">
              <w:rPr>
                <w:rFonts w:ascii="Arial" w:eastAsia="Times New Roman" w:hAnsi="Arial" w:cs="Arial"/>
                <w:b/>
                <w:bCs/>
                <w:sz w:val="22"/>
                <w:szCs w:val="20"/>
              </w:rPr>
              <w:t>Pacote 2</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
                <w:bCs/>
                <w:sz w:val="22"/>
                <w:szCs w:val="20"/>
              </w:rPr>
            </w:pPr>
            <w:r w:rsidRPr="00EF160E">
              <w:rPr>
                <w:rFonts w:ascii="Arial" w:eastAsia="Times New Roman" w:hAnsi="Arial" w:cs="Arial"/>
                <w:b/>
                <w:bCs/>
                <w:sz w:val="22"/>
                <w:szCs w:val="20"/>
              </w:rPr>
              <w:t>Pacote 3</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Areia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Bauxita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Braunita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Brucita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Calcita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166520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166520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166520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Corindon</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Dolomita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Goethita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3000000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Hematita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2700000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Itabirito</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666080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666080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666080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Magnesita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Magnetita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2625000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Pirolusita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120250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120250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120250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Quartzo</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210140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210140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210140</w:t>
            </w:r>
          </w:p>
        </w:tc>
      </w:tr>
      <w:tr w:rsidR="00EF160E" w:rsidRPr="00EF160E" w:rsidTr="00EF160E">
        <w:trPr>
          <w:trHeight w:val="397"/>
        </w:trPr>
        <w:tc>
          <w:tcPr>
            <w:tcW w:w="2012"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Rhodocrosita</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c>
          <w:tcPr>
            <w:tcW w:w="996"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0</w:t>
            </w:r>
          </w:p>
        </w:tc>
      </w:tr>
      <w:tr w:rsidR="00EF160E" w:rsidRPr="00EF160E" w:rsidTr="00EF160E">
        <w:trPr>
          <w:trHeight w:val="397"/>
        </w:trPr>
        <w:tc>
          <w:tcPr>
            <w:tcW w:w="2012"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2"/>
                <w:szCs w:val="20"/>
              </w:rPr>
            </w:pPr>
            <w:r w:rsidRPr="00EF160E">
              <w:rPr>
                <w:rFonts w:ascii="Arial" w:eastAsia="Times New Roman" w:hAnsi="Arial" w:cs="Arial"/>
                <w:bCs/>
                <w:sz w:val="22"/>
                <w:szCs w:val="20"/>
              </w:rPr>
              <w:t>Peso Total do Pacote</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4162990</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3787990</w:t>
            </w:r>
          </w:p>
        </w:tc>
        <w:tc>
          <w:tcPr>
            <w:tcW w:w="996"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2"/>
                <w:szCs w:val="20"/>
              </w:rPr>
            </w:pPr>
            <w:r w:rsidRPr="00EF160E">
              <w:rPr>
                <w:rFonts w:ascii="Arial" w:eastAsia="Times New Roman" w:hAnsi="Arial" w:cs="Arial"/>
                <w:color w:val="000000"/>
                <w:sz w:val="22"/>
                <w:szCs w:val="20"/>
              </w:rPr>
              <w:t>3862990</w:t>
            </w:r>
          </w:p>
        </w:tc>
      </w:tr>
    </w:tbl>
    <w:p w:rsidR="00D03E7E" w:rsidRDefault="00D03E7E" w:rsidP="00D03E7E">
      <w:pPr>
        <w:jc w:val="center"/>
        <w:rPr>
          <w:rFonts w:ascii="Helvetica Neue" w:eastAsia="Helvetica Neue" w:hAnsi="Helvetica Neue" w:cs="Helvetica Neue"/>
          <w:b/>
          <w:sz w:val="20"/>
          <w:szCs w:val="20"/>
        </w:rPr>
      </w:pPr>
    </w:p>
    <w:p w:rsidR="00DC38A2" w:rsidRDefault="00D03E7E" w:rsidP="00D03E7E">
      <w:pPr>
        <w:jc w:val="center"/>
      </w:pPr>
      <w:r>
        <w:rPr>
          <w:rFonts w:ascii="Helvetica Neue" w:eastAsia="Helvetica Neue" w:hAnsi="Helvetica Neue" w:cs="Helvetica Neue"/>
          <w:b/>
          <w:sz w:val="20"/>
          <w:szCs w:val="20"/>
        </w:rPr>
        <w:t xml:space="preserve">Tabela 10. </w:t>
      </w:r>
      <w:r>
        <w:rPr>
          <w:rFonts w:ascii="Helvetica Neue" w:eastAsia="Helvetica Neue" w:hAnsi="Helvetica Neue" w:cs="Helvetica Neue"/>
          <w:sz w:val="20"/>
          <w:szCs w:val="20"/>
        </w:rPr>
        <w:t>Análise de qualidade para a produção de 3 pacotes</w:t>
      </w:r>
      <w:r w:rsidRPr="007B6CC0">
        <w:rPr>
          <w:rFonts w:ascii="Helvetica Neue" w:eastAsia="Helvetica Neue" w:hAnsi="Helvetica Neue" w:cs="Helvetica Neue"/>
          <w:sz w:val="20"/>
          <w:szCs w:val="20"/>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35"/>
        <w:gridCol w:w="930"/>
        <w:gridCol w:w="930"/>
        <w:gridCol w:w="930"/>
        <w:gridCol w:w="1052"/>
        <w:gridCol w:w="1764"/>
        <w:gridCol w:w="2154"/>
      </w:tblGrid>
      <w:tr w:rsidR="00EF160E" w:rsidRPr="00EF160E" w:rsidTr="005412A0">
        <w:trPr>
          <w:trHeight w:val="300"/>
          <w:jc w:val="center"/>
        </w:trPr>
        <w:tc>
          <w:tcPr>
            <w:tcW w:w="433"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sz w:val="20"/>
              </w:rPr>
            </w:pPr>
          </w:p>
        </w:tc>
        <w:tc>
          <w:tcPr>
            <w:tcW w:w="547"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Pacote 1</w:t>
            </w:r>
          </w:p>
        </w:tc>
        <w:tc>
          <w:tcPr>
            <w:tcW w:w="547" w:type="pct"/>
            <w:tcBorders>
              <w:right w:val="single" w:sz="6" w:space="0" w:color="auto"/>
            </w:tcBorders>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Pacote 2</w:t>
            </w:r>
          </w:p>
        </w:tc>
        <w:tc>
          <w:tcPr>
            <w:tcW w:w="547" w:type="pct"/>
            <w:tcBorders>
              <w:top w:val="single" w:sz="6" w:space="0" w:color="auto"/>
              <w:left w:val="single" w:sz="6" w:space="0" w:color="auto"/>
              <w:bottom w:val="single" w:sz="6" w:space="0" w:color="auto"/>
              <w:right w:val="single" w:sz="6" w:space="0" w:color="auto"/>
            </w:tcBorders>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Pacote 3</w:t>
            </w:r>
          </w:p>
        </w:tc>
        <w:tc>
          <w:tcPr>
            <w:tcW w:w="619" w:type="pct"/>
            <w:tcBorders>
              <w:left w:val="single" w:sz="6" w:space="0" w:color="auto"/>
            </w:tcBorders>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Média (%)</w:t>
            </w:r>
          </w:p>
        </w:tc>
        <w:tc>
          <w:tcPr>
            <w:tcW w:w="1038"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Variância (VAR.P)</w:t>
            </w:r>
          </w:p>
        </w:tc>
        <w:tc>
          <w:tcPr>
            <w:tcW w:w="1267" w:type="pct"/>
            <w:shd w:val="clear" w:color="auto" w:fill="D9D9D9" w:themeFill="background1" w:themeFillShade="D9"/>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Desvio Padrão (DP %)</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SiO2</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6,7973</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7,4703</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7,3252</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7,1976</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0,0836</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0,2892</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CaO</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2,198</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2,1553</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2,1178</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0,0072</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0,0851</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MgO</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1,099</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1,0777</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1,0589</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0,0018</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0,0425</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Fe</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55,0001</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60,4449</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59,2714</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58,2388</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5,4742</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2,3397</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Al2O3</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0,8</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0,8792</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0,8621</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0,8471</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0,0012</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0,034</w:t>
            </w:r>
          </w:p>
        </w:tc>
      </w:tr>
      <w:tr w:rsidR="00EF160E" w:rsidRPr="00EF160E" w:rsidTr="005412A0">
        <w:trPr>
          <w:trHeight w:val="300"/>
          <w:jc w:val="center"/>
        </w:trPr>
        <w:tc>
          <w:tcPr>
            <w:tcW w:w="433"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bCs/>
                <w:sz w:val="20"/>
                <w:szCs w:val="22"/>
              </w:rPr>
            </w:pPr>
            <w:r w:rsidRPr="00EF160E">
              <w:rPr>
                <w:rFonts w:ascii="Arial" w:eastAsia="Times New Roman" w:hAnsi="Arial" w:cs="Arial"/>
                <w:bCs/>
                <w:sz w:val="20"/>
                <w:szCs w:val="22"/>
              </w:rPr>
              <w:t>Mn</w:t>
            </w:r>
          </w:p>
        </w:tc>
        <w:tc>
          <w:tcPr>
            <w:tcW w:w="54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1,8198</w:t>
            </w:r>
          </w:p>
        </w:tc>
        <w:tc>
          <w:tcPr>
            <w:tcW w:w="547" w:type="pct"/>
            <w:tcBorders>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1,9999</w:t>
            </w:r>
          </w:p>
        </w:tc>
        <w:tc>
          <w:tcPr>
            <w:tcW w:w="547" w:type="pct"/>
            <w:tcBorders>
              <w:top w:val="single" w:sz="6" w:space="0" w:color="auto"/>
              <w:left w:val="single" w:sz="6" w:space="0" w:color="auto"/>
              <w:bottom w:val="single" w:sz="6" w:space="0" w:color="auto"/>
              <w:righ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1,9611</w:t>
            </w:r>
          </w:p>
        </w:tc>
        <w:tc>
          <w:tcPr>
            <w:tcW w:w="619" w:type="pct"/>
            <w:tcBorders>
              <w:left w:val="single" w:sz="6" w:space="0" w:color="auto"/>
            </w:tcBorders>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1,9269</w:t>
            </w:r>
          </w:p>
        </w:tc>
        <w:tc>
          <w:tcPr>
            <w:tcW w:w="1038"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0,006</w:t>
            </w:r>
          </w:p>
        </w:tc>
        <w:tc>
          <w:tcPr>
            <w:tcW w:w="1267" w:type="pct"/>
            <w:shd w:val="clear" w:color="auto" w:fill="auto"/>
            <w:noWrap/>
            <w:vAlign w:val="center"/>
            <w:hideMark/>
          </w:tcPr>
          <w:p w:rsidR="00EF160E" w:rsidRPr="00EF160E" w:rsidRDefault="00EF160E" w:rsidP="00EF160E">
            <w:pPr>
              <w:tabs>
                <w:tab w:val="clear" w:pos="720"/>
              </w:tabs>
              <w:spacing w:before="0"/>
              <w:jc w:val="center"/>
              <w:rPr>
                <w:rFonts w:ascii="Arial" w:eastAsia="Times New Roman" w:hAnsi="Arial" w:cs="Arial"/>
                <w:color w:val="000000"/>
                <w:sz w:val="20"/>
                <w:szCs w:val="22"/>
              </w:rPr>
            </w:pPr>
            <w:r w:rsidRPr="00EF160E">
              <w:rPr>
                <w:rFonts w:ascii="Arial" w:eastAsia="Times New Roman" w:hAnsi="Arial" w:cs="Arial"/>
                <w:color w:val="000000"/>
                <w:sz w:val="20"/>
                <w:szCs w:val="22"/>
              </w:rPr>
              <w:t>0,0774</w:t>
            </w:r>
          </w:p>
        </w:tc>
      </w:tr>
    </w:tbl>
    <w:p w:rsidR="00D03E7E" w:rsidRDefault="00D03E7E" w:rsidP="00D03E7E">
      <w:pPr>
        <w:pStyle w:val="Ttulo3"/>
        <w:spacing w:before="240"/>
        <w:jc w:val="left"/>
        <w:rPr>
          <w:sz w:val="24"/>
          <w:szCs w:val="24"/>
        </w:rPr>
      </w:pPr>
      <w:r>
        <w:rPr>
          <w:sz w:val="24"/>
          <w:szCs w:val="24"/>
        </w:rPr>
        <w:lastRenderedPageBreak/>
        <w:t>4.2. Simulação para 4 pacotes</w:t>
      </w:r>
    </w:p>
    <w:p w:rsidR="00D03E7E" w:rsidRPr="00EF160E" w:rsidRDefault="00D03E7E" w:rsidP="00D03E7E">
      <w:pPr>
        <w:jc w:val="center"/>
      </w:pPr>
      <w:r>
        <w:rPr>
          <w:rFonts w:ascii="Helvetica Neue" w:eastAsia="Helvetica Neue" w:hAnsi="Helvetica Neue" w:cs="Helvetica Neue"/>
          <w:b/>
          <w:sz w:val="20"/>
          <w:szCs w:val="20"/>
        </w:rPr>
        <w:t xml:space="preserve">Tabela 11. </w:t>
      </w:r>
      <w:r w:rsidR="009B35C8">
        <w:rPr>
          <w:rFonts w:ascii="Helvetica Neue" w:eastAsia="Helvetica Neue" w:hAnsi="Helvetica Neue" w:cs="Helvetica Neue"/>
          <w:sz w:val="20"/>
          <w:szCs w:val="20"/>
        </w:rPr>
        <w:t>Receita pa</w:t>
      </w:r>
      <w:r>
        <w:rPr>
          <w:rFonts w:ascii="Helvetica Neue" w:eastAsia="Helvetica Neue" w:hAnsi="Helvetica Neue" w:cs="Helvetica Neue"/>
          <w:sz w:val="20"/>
          <w:szCs w:val="20"/>
        </w:rPr>
        <w:t>ra otimizar a produção de 4 pacotes</w:t>
      </w:r>
      <w:r w:rsidRPr="007B6CC0">
        <w:rPr>
          <w:rFonts w:ascii="Helvetica Neue" w:eastAsia="Helvetica Neue" w:hAnsi="Helvetica Neue" w:cs="Helvetica Neue"/>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55"/>
        <w:gridCol w:w="1410"/>
        <w:gridCol w:w="1410"/>
        <w:gridCol w:w="1410"/>
        <w:gridCol w:w="1410"/>
      </w:tblGrid>
      <w:tr w:rsidR="00D03E7E" w:rsidRPr="00EF160E" w:rsidTr="002877E0">
        <w:trPr>
          <w:trHeight w:val="397"/>
        </w:trPr>
        <w:tc>
          <w:tcPr>
            <w:tcW w:w="168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p>
        </w:tc>
        <w:tc>
          <w:tcPr>
            <w:tcW w:w="830" w:type="pct"/>
            <w:shd w:val="clear" w:color="auto" w:fill="D9D9D9" w:themeFill="background1" w:themeFillShade="D9"/>
            <w:noWrap/>
            <w:vAlign w:val="center"/>
            <w:hideMark/>
          </w:tcPr>
          <w:p w:rsidR="00D03E7E" w:rsidRPr="003237DE" w:rsidRDefault="00D03E7E" w:rsidP="00D03E7E">
            <w:pPr>
              <w:tabs>
                <w:tab w:val="clear" w:pos="720"/>
              </w:tabs>
              <w:spacing w:before="0"/>
              <w:jc w:val="center"/>
              <w:rPr>
                <w:rFonts w:ascii="Arial" w:eastAsia="Times New Roman" w:hAnsi="Arial" w:cs="Arial"/>
                <w:b/>
                <w:sz w:val="22"/>
                <w:szCs w:val="20"/>
              </w:rPr>
            </w:pPr>
            <w:r w:rsidRPr="003237DE">
              <w:rPr>
                <w:rFonts w:ascii="Arial" w:eastAsia="Times New Roman" w:hAnsi="Arial" w:cs="Arial"/>
                <w:b/>
                <w:sz w:val="22"/>
                <w:szCs w:val="20"/>
              </w:rPr>
              <w:t>Pacote 1</w:t>
            </w:r>
          </w:p>
        </w:tc>
        <w:tc>
          <w:tcPr>
            <w:tcW w:w="830" w:type="pct"/>
            <w:shd w:val="clear" w:color="auto" w:fill="D9D9D9" w:themeFill="background1" w:themeFillShade="D9"/>
            <w:noWrap/>
            <w:vAlign w:val="center"/>
            <w:hideMark/>
          </w:tcPr>
          <w:p w:rsidR="00D03E7E" w:rsidRPr="003237DE" w:rsidRDefault="00D03E7E" w:rsidP="00D03E7E">
            <w:pPr>
              <w:tabs>
                <w:tab w:val="clear" w:pos="720"/>
              </w:tabs>
              <w:spacing w:before="0"/>
              <w:jc w:val="center"/>
              <w:rPr>
                <w:rFonts w:ascii="Arial" w:eastAsia="Times New Roman" w:hAnsi="Arial" w:cs="Arial"/>
                <w:b/>
                <w:sz w:val="22"/>
                <w:szCs w:val="20"/>
              </w:rPr>
            </w:pPr>
            <w:r w:rsidRPr="003237DE">
              <w:rPr>
                <w:rFonts w:ascii="Arial" w:eastAsia="Times New Roman" w:hAnsi="Arial" w:cs="Arial"/>
                <w:b/>
                <w:sz w:val="22"/>
                <w:szCs w:val="20"/>
              </w:rPr>
              <w:t>Pacote 2</w:t>
            </w:r>
          </w:p>
        </w:tc>
        <w:tc>
          <w:tcPr>
            <w:tcW w:w="830" w:type="pct"/>
            <w:shd w:val="clear" w:color="auto" w:fill="D9D9D9" w:themeFill="background1" w:themeFillShade="D9"/>
            <w:noWrap/>
            <w:vAlign w:val="center"/>
            <w:hideMark/>
          </w:tcPr>
          <w:p w:rsidR="00D03E7E" w:rsidRPr="003237DE" w:rsidRDefault="00D03E7E" w:rsidP="00D03E7E">
            <w:pPr>
              <w:tabs>
                <w:tab w:val="clear" w:pos="720"/>
              </w:tabs>
              <w:spacing w:before="0"/>
              <w:jc w:val="center"/>
              <w:rPr>
                <w:rFonts w:ascii="Arial" w:eastAsia="Times New Roman" w:hAnsi="Arial" w:cs="Arial"/>
                <w:b/>
                <w:sz w:val="22"/>
                <w:szCs w:val="20"/>
              </w:rPr>
            </w:pPr>
            <w:r w:rsidRPr="003237DE">
              <w:rPr>
                <w:rFonts w:ascii="Arial" w:eastAsia="Times New Roman" w:hAnsi="Arial" w:cs="Arial"/>
                <w:b/>
                <w:sz w:val="22"/>
                <w:szCs w:val="20"/>
              </w:rPr>
              <w:t>Pacote 3</w:t>
            </w:r>
          </w:p>
        </w:tc>
        <w:tc>
          <w:tcPr>
            <w:tcW w:w="830" w:type="pct"/>
            <w:shd w:val="clear" w:color="auto" w:fill="D9D9D9" w:themeFill="background1" w:themeFillShade="D9"/>
            <w:vAlign w:val="center"/>
          </w:tcPr>
          <w:p w:rsidR="00D03E7E" w:rsidRPr="003237DE" w:rsidRDefault="00D03E7E" w:rsidP="00D03E7E">
            <w:pPr>
              <w:tabs>
                <w:tab w:val="clear" w:pos="720"/>
              </w:tabs>
              <w:spacing w:before="0"/>
              <w:jc w:val="center"/>
              <w:rPr>
                <w:rFonts w:ascii="Arial" w:eastAsia="Times New Roman" w:hAnsi="Arial" w:cs="Arial"/>
                <w:b/>
                <w:sz w:val="22"/>
                <w:szCs w:val="20"/>
              </w:rPr>
            </w:pPr>
            <w:r w:rsidRPr="003237DE">
              <w:rPr>
                <w:rFonts w:ascii="Arial" w:eastAsia="Times New Roman" w:hAnsi="Arial" w:cs="Arial"/>
                <w:b/>
                <w:sz w:val="22"/>
                <w:szCs w:val="20"/>
              </w:rPr>
              <w:t>Pacote 4</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Areia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122750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122750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Bauxita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Braunita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100000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100000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Brucita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Calcita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123770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123770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126230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126230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Corindon</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Dolomita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172140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172140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Goethita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1272300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1177100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Hematita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2523800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476220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Itabirito</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1054900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1054900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Magnesita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Magnetita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2453700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546320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Pirolusita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Quartzo</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Rhodocrosita</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127660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127660</w:t>
            </w:r>
          </w:p>
        </w:tc>
        <w:tc>
          <w:tcPr>
            <w:tcW w:w="830" w:type="pct"/>
            <w:shd w:val="clear" w:color="auto" w:fill="auto"/>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c>
          <w:tcPr>
            <w:tcW w:w="830" w:type="pct"/>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0</w:t>
            </w:r>
          </w:p>
        </w:tc>
      </w:tr>
      <w:tr w:rsidR="00D03E7E" w:rsidRPr="00EF160E" w:rsidTr="002877E0">
        <w:trPr>
          <w:trHeight w:val="397"/>
        </w:trPr>
        <w:tc>
          <w:tcPr>
            <w:tcW w:w="168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Peso Total do Pacote</w:t>
            </w:r>
          </w:p>
        </w:tc>
        <w:tc>
          <w:tcPr>
            <w:tcW w:w="83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3000020</w:t>
            </w:r>
          </w:p>
        </w:tc>
        <w:tc>
          <w:tcPr>
            <w:tcW w:w="83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3070120</w:t>
            </w:r>
          </w:p>
        </w:tc>
        <w:tc>
          <w:tcPr>
            <w:tcW w:w="830" w:type="pct"/>
            <w:shd w:val="clear" w:color="auto" w:fill="D9D9D9" w:themeFill="background1" w:themeFillShade="D9"/>
            <w:noWrap/>
            <w:vAlign w:val="center"/>
            <w:hideMark/>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3029650</w:t>
            </w:r>
          </w:p>
        </w:tc>
        <w:tc>
          <w:tcPr>
            <w:tcW w:w="830" w:type="pct"/>
            <w:shd w:val="clear" w:color="auto" w:fill="D9D9D9" w:themeFill="background1" w:themeFillShade="D9"/>
            <w:vAlign w:val="center"/>
          </w:tcPr>
          <w:p w:rsidR="00D03E7E" w:rsidRPr="00D03E7E" w:rsidRDefault="00D03E7E" w:rsidP="00D03E7E">
            <w:pPr>
              <w:tabs>
                <w:tab w:val="clear" w:pos="720"/>
              </w:tabs>
              <w:spacing w:before="0"/>
              <w:jc w:val="center"/>
              <w:rPr>
                <w:rFonts w:ascii="Arial" w:eastAsia="Times New Roman" w:hAnsi="Arial" w:cs="Arial"/>
                <w:sz w:val="22"/>
                <w:szCs w:val="20"/>
              </w:rPr>
            </w:pPr>
            <w:r w:rsidRPr="00D03E7E">
              <w:rPr>
                <w:rFonts w:ascii="Arial" w:eastAsia="Times New Roman" w:hAnsi="Arial" w:cs="Arial"/>
                <w:sz w:val="22"/>
                <w:szCs w:val="20"/>
              </w:rPr>
              <w:t>3004550</w:t>
            </w:r>
          </w:p>
        </w:tc>
      </w:tr>
    </w:tbl>
    <w:p w:rsidR="00D03E7E" w:rsidRDefault="00D03E7E" w:rsidP="00D03E7E">
      <w:pPr>
        <w:jc w:val="center"/>
        <w:rPr>
          <w:rFonts w:ascii="Helvetica Neue" w:eastAsia="Helvetica Neue" w:hAnsi="Helvetica Neue" w:cs="Helvetica Neue"/>
          <w:b/>
          <w:sz w:val="20"/>
          <w:szCs w:val="20"/>
        </w:rPr>
      </w:pPr>
    </w:p>
    <w:p w:rsidR="005412A0" w:rsidRDefault="005412A0" w:rsidP="003237DE">
      <w:pPr>
        <w:rPr>
          <w:rFonts w:ascii="Helvetica Neue" w:eastAsia="Helvetica Neue" w:hAnsi="Helvetica Neue" w:cs="Helvetica Neue"/>
          <w:b/>
          <w:sz w:val="20"/>
          <w:szCs w:val="20"/>
        </w:rPr>
      </w:pPr>
    </w:p>
    <w:p w:rsidR="00DA7507" w:rsidRDefault="00D03E7E" w:rsidP="00DA7507">
      <w:pPr>
        <w:jc w:val="center"/>
      </w:pPr>
      <w:r>
        <w:rPr>
          <w:rFonts w:ascii="Helvetica Neue" w:eastAsia="Helvetica Neue" w:hAnsi="Helvetica Neue" w:cs="Helvetica Neue"/>
          <w:b/>
          <w:sz w:val="20"/>
          <w:szCs w:val="20"/>
        </w:rPr>
        <w:t xml:space="preserve">Tabela 12. </w:t>
      </w:r>
      <w:r>
        <w:rPr>
          <w:rFonts w:ascii="Helvetica Neue" w:eastAsia="Helvetica Neue" w:hAnsi="Helvetica Neue" w:cs="Helvetica Neue"/>
          <w:sz w:val="20"/>
          <w:szCs w:val="20"/>
        </w:rPr>
        <w:t>Análise de qualidade para a produção de 4 pacotes</w:t>
      </w:r>
      <w:r w:rsidRPr="007B6CC0">
        <w:rPr>
          <w:rFonts w:ascii="Helvetica Neue" w:eastAsia="Helvetica Neue" w:hAnsi="Helvetica Neue" w:cs="Helvetica Neue"/>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1"/>
        <w:gridCol w:w="1062"/>
        <w:gridCol w:w="1062"/>
        <w:gridCol w:w="1062"/>
        <w:gridCol w:w="1062"/>
        <w:gridCol w:w="1062"/>
        <w:gridCol w:w="1062"/>
        <w:gridCol w:w="1062"/>
      </w:tblGrid>
      <w:tr w:rsidR="00B27E53" w:rsidRPr="00B27E53" w:rsidTr="002843F4">
        <w:trPr>
          <w:trHeight w:val="460"/>
        </w:trPr>
        <w:tc>
          <w:tcPr>
            <w:tcW w:w="624"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sz w:val="20"/>
                <w:szCs w:val="20"/>
              </w:rPr>
            </w:pP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Pacote 1</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Pacote 2</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Pacote 3</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Pacote 4</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Média (%)</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Variância (VAR.P)</w:t>
            </w:r>
          </w:p>
        </w:tc>
        <w:tc>
          <w:tcPr>
            <w:tcW w:w="625" w:type="pct"/>
            <w:shd w:val="clear" w:color="auto" w:fill="D9D9D9" w:themeFill="background1" w:themeFillShade="D9"/>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Desvio Padrão (DP %)</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SiO2</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4,0933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3,9999</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4,0533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4,0872</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4,0584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0,0014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0,0371</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CaO</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2,1037</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2,0557</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2,0832</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2,1006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2,0858</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0,0004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0,0191</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MgO</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1,9686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1,9236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1,9493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1,9656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1,9518</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0,0003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0,0178</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Fe</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58,9293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57,5837</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58,3514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58,8395</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58,426</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0,2849</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0,5337</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Al2O3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1,3033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1,2735</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1,741</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1,7555</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1,5183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0,053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0,2302</w:t>
            </w:r>
          </w:p>
        </w:tc>
      </w:tr>
      <w:tr w:rsidR="00B27E53" w:rsidRPr="00B27E53" w:rsidTr="002843F4">
        <w:trPr>
          <w:trHeight w:val="460"/>
        </w:trPr>
        <w:tc>
          <w:tcPr>
            <w:tcW w:w="624"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bCs/>
                <w:sz w:val="20"/>
                <w:szCs w:val="20"/>
              </w:rPr>
            </w:pPr>
            <w:r w:rsidRPr="00B27E53">
              <w:rPr>
                <w:rFonts w:ascii="Arial" w:eastAsia="Times New Roman" w:hAnsi="Arial" w:cs="Arial"/>
                <w:bCs/>
                <w:sz w:val="20"/>
                <w:szCs w:val="20"/>
              </w:rPr>
              <w:t>Mn</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2</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1,9543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1,9804</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1,997</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1,9829</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0,0003</w:t>
            </w:r>
          </w:p>
        </w:tc>
        <w:tc>
          <w:tcPr>
            <w:tcW w:w="625" w:type="pct"/>
            <w:shd w:val="clear" w:color="auto" w:fill="auto"/>
            <w:noWrap/>
            <w:vAlign w:val="center"/>
            <w:hideMark/>
          </w:tcPr>
          <w:p w:rsidR="00B27E53" w:rsidRPr="00B27E53" w:rsidRDefault="00B27E53" w:rsidP="00B27E53">
            <w:pPr>
              <w:tabs>
                <w:tab w:val="clear" w:pos="720"/>
              </w:tabs>
              <w:spacing w:before="0"/>
              <w:jc w:val="center"/>
              <w:rPr>
                <w:rFonts w:ascii="Arial" w:eastAsia="Times New Roman" w:hAnsi="Arial" w:cs="Arial"/>
                <w:color w:val="000000"/>
                <w:sz w:val="20"/>
                <w:szCs w:val="20"/>
              </w:rPr>
            </w:pPr>
            <w:r w:rsidRPr="00B27E53">
              <w:rPr>
                <w:rFonts w:ascii="Arial" w:eastAsia="Times New Roman" w:hAnsi="Arial" w:cs="Arial"/>
                <w:color w:val="000000"/>
                <w:sz w:val="20"/>
                <w:szCs w:val="20"/>
              </w:rPr>
              <w:t>0,0181</w:t>
            </w:r>
          </w:p>
        </w:tc>
      </w:tr>
    </w:tbl>
    <w:p w:rsidR="003237DE" w:rsidRDefault="003237DE" w:rsidP="005412A0">
      <w:pPr>
        <w:pStyle w:val="Ttulo3"/>
        <w:spacing w:before="240"/>
        <w:jc w:val="left"/>
        <w:rPr>
          <w:sz w:val="24"/>
          <w:szCs w:val="24"/>
        </w:rPr>
      </w:pPr>
    </w:p>
    <w:p w:rsidR="003237DE" w:rsidRDefault="003237DE" w:rsidP="003237DE"/>
    <w:p w:rsidR="003237DE" w:rsidRPr="003237DE" w:rsidRDefault="003237DE" w:rsidP="003237DE"/>
    <w:p w:rsidR="005412A0" w:rsidRDefault="00E72B5B" w:rsidP="005412A0">
      <w:pPr>
        <w:pStyle w:val="Ttulo3"/>
        <w:spacing w:before="240"/>
        <w:jc w:val="left"/>
        <w:rPr>
          <w:sz w:val="24"/>
          <w:szCs w:val="24"/>
        </w:rPr>
      </w:pPr>
      <w:r>
        <w:rPr>
          <w:sz w:val="24"/>
          <w:szCs w:val="24"/>
        </w:rPr>
        <w:t>4.3</w:t>
      </w:r>
      <w:r w:rsidR="003237DE">
        <w:rPr>
          <w:sz w:val="24"/>
          <w:szCs w:val="24"/>
        </w:rPr>
        <w:t>. Simulação para 5 pacotes</w:t>
      </w:r>
    </w:p>
    <w:p w:rsidR="005412A0" w:rsidRPr="00EF160E" w:rsidRDefault="005412A0" w:rsidP="005412A0">
      <w:pPr>
        <w:jc w:val="center"/>
      </w:pPr>
      <w:r>
        <w:rPr>
          <w:rFonts w:ascii="Helvetica Neue" w:eastAsia="Helvetica Neue" w:hAnsi="Helvetica Neue" w:cs="Helvetica Neue"/>
          <w:b/>
          <w:sz w:val="20"/>
          <w:szCs w:val="20"/>
        </w:rPr>
        <w:t xml:space="preserve">Tabela 13. </w:t>
      </w:r>
      <w:r w:rsidR="009B35C8">
        <w:rPr>
          <w:rFonts w:ascii="Helvetica Neue" w:eastAsia="Helvetica Neue" w:hAnsi="Helvetica Neue" w:cs="Helvetica Neue"/>
          <w:sz w:val="20"/>
          <w:szCs w:val="20"/>
        </w:rPr>
        <w:t>Receita pa</w:t>
      </w:r>
      <w:bookmarkStart w:id="16" w:name="_GoBack"/>
      <w:bookmarkEnd w:id="16"/>
      <w:r>
        <w:rPr>
          <w:rFonts w:ascii="Helvetica Neue" w:eastAsia="Helvetica Neue" w:hAnsi="Helvetica Neue" w:cs="Helvetica Neue"/>
          <w:sz w:val="20"/>
          <w:szCs w:val="20"/>
        </w:rPr>
        <w:t>ra otimizar a produção de 5 pacotes</w:t>
      </w:r>
      <w:r w:rsidRPr="007B6CC0">
        <w:rPr>
          <w:rFonts w:ascii="Helvetica Neue" w:eastAsia="Helvetica Neue" w:hAnsi="Helvetica Neue" w:cs="Helvetica Neue"/>
          <w:sz w:val="20"/>
          <w:szCs w:val="20"/>
        </w:rPr>
        <w:t>.</w:t>
      </w:r>
    </w:p>
    <w:tbl>
      <w:tblPr>
        <w:tblpPr w:leftFromText="141" w:rightFromText="141" w:vertAnchor="text" w:horzAnchor="margin" w:tblpY="55"/>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50"/>
        <w:gridCol w:w="1169"/>
        <w:gridCol w:w="1169"/>
        <w:gridCol w:w="1169"/>
        <w:gridCol w:w="1169"/>
        <w:gridCol w:w="1169"/>
      </w:tblGrid>
      <w:tr w:rsidR="005412A0" w:rsidRPr="005412A0" w:rsidTr="002877E0">
        <w:trPr>
          <w:trHeight w:val="397"/>
        </w:trPr>
        <w:tc>
          <w:tcPr>
            <w:tcW w:w="1558" w:type="pct"/>
            <w:shd w:val="clear" w:color="auto" w:fill="D9D9D9" w:themeFill="background1" w:themeFillShade="D9"/>
            <w:noWrap/>
            <w:vAlign w:val="center"/>
            <w:hideMark/>
          </w:tcPr>
          <w:p w:rsidR="005412A0" w:rsidRPr="003237DE" w:rsidRDefault="005412A0" w:rsidP="005412A0">
            <w:pPr>
              <w:tabs>
                <w:tab w:val="clear" w:pos="720"/>
              </w:tabs>
              <w:spacing w:before="0"/>
              <w:jc w:val="center"/>
              <w:rPr>
                <w:rFonts w:ascii="Arial" w:eastAsia="Times New Roman" w:hAnsi="Arial" w:cs="Arial"/>
                <w:sz w:val="22"/>
                <w:szCs w:val="22"/>
              </w:rPr>
            </w:pPr>
          </w:p>
          <w:p w:rsidR="005412A0" w:rsidRPr="005412A0" w:rsidRDefault="005412A0" w:rsidP="005412A0">
            <w:pPr>
              <w:tabs>
                <w:tab w:val="clear" w:pos="720"/>
              </w:tabs>
              <w:spacing w:before="0"/>
              <w:jc w:val="center"/>
              <w:rPr>
                <w:rFonts w:ascii="Arial" w:eastAsia="Times New Roman" w:hAnsi="Arial" w:cs="Arial"/>
                <w:sz w:val="22"/>
                <w:szCs w:val="22"/>
              </w:rPr>
            </w:pP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1</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2</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3</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4</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
                <w:bCs/>
                <w:sz w:val="22"/>
                <w:szCs w:val="22"/>
              </w:rPr>
            </w:pPr>
            <w:r w:rsidRPr="005412A0">
              <w:rPr>
                <w:rFonts w:ascii="Arial" w:eastAsia="Times New Roman" w:hAnsi="Arial" w:cs="Arial"/>
                <w:b/>
                <w:bCs/>
                <w:sz w:val="22"/>
                <w:szCs w:val="22"/>
              </w:rPr>
              <w:t>Pacote 5</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Areia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252690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102990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252690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188560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146240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Bauxita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Braunita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Brucita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Calcita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Corindon</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Dolomita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132770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Goethita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1025400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1974600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Hematita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2141600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858400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Itabirito</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149460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1671600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149460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858680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170750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Magnesita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156250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156250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156250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Magnetita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2113900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733930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152130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Pirolusita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Quartzo</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100000</w:t>
            </w:r>
          </w:p>
        </w:tc>
      </w:tr>
      <w:tr w:rsidR="005412A0" w:rsidRPr="005412A0" w:rsidTr="002877E0">
        <w:trPr>
          <w:trHeight w:val="397"/>
        </w:trPr>
        <w:tc>
          <w:tcPr>
            <w:tcW w:w="155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Rhodocrosita</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127660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127660</w:t>
            </w:r>
          </w:p>
        </w:tc>
        <w:tc>
          <w:tcPr>
            <w:tcW w:w="688" w:type="pct"/>
            <w:shd w:val="clear" w:color="auto" w:fill="auto"/>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0</w:t>
            </w:r>
          </w:p>
        </w:tc>
      </w:tr>
      <w:tr w:rsidR="003237DE" w:rsidRPr="005412A0" w:rsidTr="002877E0">
        <w:trPr>
          <w:trHeight w:val="397"/>
        </w:trPr>
        <w:tc>
          <w:tcPr>
            <w:tcW w:w="155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bCs/>
                <w:sz w:val="22"/>
                <w:szCs w:val="22"/>
              </w:rPr>
            </w:pPr>
            <w:r w:rsidRPr="005412A0">
              <w:rPr>
                <w:rFonts w:ascii="Arial" w:eastAsia="Times New Roman" w:hAnsi="Arial" w:cs="Arial"/>
                <w:bCs/>
                <w:sz w:val="22"/>
                <w:szCs w:val="22"/>
              </w:rPr>
              <w:t>Peso Total do Pacote</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3000000</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2999990</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2999960</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3000000</w:t>
            </w:r>
          </w:p>
        </w:tc>
        <w:tc>
          <w:tcPr>
            <w:tcW w:w="688" w:type="pct"/>
            <w:shd w:val="clear" w:color="auto" w:fill="D9D9D9" w:themeFill="background1" w:themeFillShade="D9"/>
            <w:noWrap/>
            <w:vAlign w:val="center"/>
            <w:hideMark/>
          </w:tcPr>
          <w:p w:rsidR="005412A0" w:rsidRPr="005412A0" w:rsidRDefault="005412A0" w:rsidP="005412A0">
            <w:pPr>
              <w:tabs>
                <w:tab w:val="clear" w:pos="720"/>
              </w:tabs>
              <w:spacing w:before="0"/>
              <w:jc w:val="center"/>
              <w:rPr>
                <w:rFonts w:ascii="Arial" w:eastAsia="Times New Roman" w:hAnsi="Arial" w:cs="Arial"/>
                <w:color w:val="000000"/>
                <w:sz w:val="22"/>
                <w:szCs w:val="22"/>
              </w:rPr>
            </w:pPr>
            <w:r w:rsidRPr="005412A0">
              <w:rPr>
                <w:rFonts w:ascii="Arial" w:eastAsia="Times New Roman" w:hAnsi="Arial" w:cs="Arial"/>
                <w:color w:val="000000"/>
                <w:sz w:val="22"/>
                <w:szCs w:val="22"/>
              </w:rPr>
              <w:t>2999970</w:t>
            </w:r>
          </w:p>
        </w:tc>
      </w:tr>
    </w:tbl>
    <w:p w:rsidR="00DA7507" w:rsidRDefault="00DA7507">
      <w:pPr>
        <w:keepNext/>
        <w:pBdr>
          <w:top w:val="nil"/>
          <w:left w:val="nil"/>
          <w:bottom w:val="nil"/>
          <w:right w:val="nil"/>
          <w:between w:val="nil"/>
        </w:pBdr>
        <w:spacing w:before="240"/>
        <w:jc w:val="left"/>
        <w:rPr>
          <w:b/>
          <w:color w:val="000000"/>
          <w:sz w:val="26"/>
          <w:szCs w:val="26"/>
        </w:rPr>
      </w:pPr>
    </w:p>
    <w:p w:rsidR="003237DE" w:rsidRPr="003237DE" w:rsidRDefault="00E72B5B" w:rsidP="003237DE">
      <w:pPr>
        <w:jc w:val="center"/>
      </w:pPr>
      <w:r>
        <w:rPr>
          <w:rFonts w:ascii="Helvetica Neue" w:eastAsia="Helvetica Neue" w:hAnsi="Helvetica Neue" w:cs="Helvetica Neue"/>
          <w:b/>
          <w:sz w:val="20"/>
          <w:szCs w:val="20"/>
        </w:rPr>
        <w:t>Tabela 14</w:t>
      </w:r>
      <w:r w:rsidR="003237DE">
        <w:rPr>
          <w:rFonts w:ascii="Helvetica Neue" w:eastAsia="Helvetica Neue" w:hAnsi="Helvetica Neue" w:cs="Helvetica Neue"/>
          <w:b/>
          <w:sz w:val="20"/>
          <w:szCs w:val="20"/>
        </w:rPr>
        <w:t xml:space="preserve">. </w:t>
      </w:r>
      <w:r w:rsidR="003237DE">
        <w:rPr>
          <w:rFonts w:ascii="Helvetica Neue" w:eastAsia="Helvetica Neue" w:hAnsi="Helvetica Neue" w:cs="Helvetica Neue"/>
          <w:sz w:val="20"/>
          <w:szCs w:val="20"/>
        </w:rPr>
        <w:t>Análise de qualidade para a produção de 5 pacotes</w:t>
      </w:r>
      <w:r w:rsidR="003237DE" w:rsidRPr="007B6CC0">
        <w:rPr>
          <w:rFonts w:ascii="Helvetica Neue" w:eastAsia="Helvetica Neue" w:hAnsi="Helvetica Neue" w:cs="Helvetica Neue"/>
          <w:sz w:val="20"/>
          <w:szCs w:val="20"/>
        </w:rPr>
        <w:t>.</w:t>
      </w:r>
    </w:p>
    <w:tbl>
      <w:tblPr>
        <w:tblW w:w="86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961"/>
        <w:gridCol w:w="962"/>
        <w:gridCol w:w="961"/>
        <w:gridCol w:w="962"/>
        <w:gridCol w:w="961"/>
        <w:gridCol w:w="962"/>
        <w:gridCol w:w="889"/>
        <w:gridCol w:w="1034"/>
        <w:gridCol w:w="962"/>
      </w:tblGrid>
      <w:tr w:rsidR="003237DE" w:rsidRPr="003237DE" w:rsidTr="002843F4">
        <w:trPr>
          <w:trHeight w:val="283"/>
        </w:trPr>
        <w:tc>
          <w:tcPr>
            <w:tcW w:w="961"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sz w:val="20"/>
                <w:szCs w:val="20"/>
              </w:rPr>
            </w:pPr>
          </w:p>
        </w:tc>
        <w:tc>
          <w:tcPr>
            <w:tcW w:w="962"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1</w:t>
            </w:r>
          </w:p>
        </w:tc>
        <w:tc>
          <w:tcPr>
            <w:tcW w:w="961"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2</w:t>
            </w:r>
          </w:p>
        </w:tc>
        <w:tc>
          <w:tcPr>
            <w:tcW w:w="962"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3</w:t>
            </w:r>
          </w:p>
        </w:tc>
        <w:tc>
          <w:tcPr>
            <w:tcW w:w="961"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4</w:t>
            </w:r>
          </w:p>
        </w:tc>
        <w:tc>
          <w:tcPr>
            <w:tcW w:w="962"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Pacote 5</w:t>
            </w:r>
          </w:p>
        </w:tc>
        <w:tc>
          <w:tcPr>
            <w:tcW w:w="889"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Média (%)</w:t>
            </w:r>
          </w:p>
        </w:tc>
        <w:tc>
          <w:tcPr>
            <w:tcW w:w="1034"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Variância (VAR.P)</w:t>
            </w:r>
          </w:p>
        </w:tc>
        <w:tc>
          <w:tcPr>
            <w:tcW w:w="962" w:type="dxa"/>
            <w:shd w:val="clear" w:color="auto" w:fill="D9D9D9" w:themeFill="background1" w:themeFillShade="D9"/>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Desvio Padrão (DP %)</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SiO2</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9,0002</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9,0002</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9,0001</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0,0001</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CaO</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1,7509</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1,701</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1,7509</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1,7295</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1,7154</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1,7296</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0,0004</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0,0196</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MgO</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3</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2,987</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3</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2,9884</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3</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2,9951</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0,0061</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Fe</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53,2108</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54,9999</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53,9744</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54,8801</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48,7486</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53,1628</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5,294</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2,3009</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Al2O3</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2,8203</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2,4676</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2,2576</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0,112</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0,3346</w:t>
            </w:r>
          </w:p>
        </w:tc>
      </w:tr>
      <w:tr w:rsidR="003237DE" w:rsidRPr="003237DE" w:rsidTr="002843F4">
        <w:trPr>
          <w:trHeight w:val="283"/>
        </w:trPr>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bCs/>
                <w:sz w:val="20"/>
                <w:szCs w:val="20"/>
              </w:rPr>
            </w:pPr>
            <w:r w:rsidRPr="003237DE">
              <w:rPr>
                <w:rFonts w:ascii="Arial" w:eastAsia="Times New Roman" w:hAnsi="Arial" w:cs="Arial"/>
                <w:bCs/>
                <w:sz w:val="20"/>
                <w:szCs w:val="20"/>
              </w:rPr>
              <w:t>Mn</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2,1</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2,1</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961"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2,1</w:t>
            </w:r>
          </w:p>
        </w:tc>
        <w:tc>
          <w:tcPr>
            <w:tcW w:w="889"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2,06</w:t>
            </w:r>
          </w:p>
        </w:tc>
        <w:tc>
          <w:tcPr>
            <w:tcW w:w="1034"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0,0024</w:t>
            </w:r>
          </w:p>
        </w:tc>
        <w:tc>
          <w:tcPr>
            <w:tcW w:w="962" w:type="dxa"/>
            <w:shd w:val="clear" w:color="auto" w:fill="auto"/>
            <w:noWrap/>
            <w:vAlign w:val="center"/>
            <w:hideMark/>
          </w:tcPr>
          <w:p w:rsidR="003237DE" w:rsidRPr="003237DE" w:rsidRDefault="003237DE" w:rsidP="003237DE">
            <w:pPr>
              <w:tabs>
                <w:tab w:val="clear" w:pos="720"/>
              </w:tabs>
              <w:spacing w:before="0"/>
              <w:jc w:val="center"/>
              <w:rPr>
                <w:rFonts w:ascii="Arial" w:eastAsia="Times New Roman" w:hAnsi="Arial" w:cs="Arial"/>
                <w:color w:val="000000"/>
                <w:sz w:val="20"/>
                <w:szCs w:val="20"/>
              </w:rPr>
            </w:pPr>
            <w:r w:rsidRPr="003237DE">
              <w:rPr>
                <w:rFonts w:ascii="Arial" w:eastAsia="Times New Roman" w:hAnsi="Arial" w:cs="Arial"/>
                <w:color w:val="000000"/>
                <w:sz w:val="20"/>
                <w:szCs w:val="20"/>
              </w:rPr>
              <w:t>0,049</w:t>
            </w:r>
          </w:p>
        </w:tc>
      </w:tr>
    </w:tbl>
    <w:p w:rsidR="00F43FEA" w:rsidRDefault="00F43FEA" w:rsidP="00F43FEA">
      <w:pPr>
        <w:pStyle w:val="Ttulo3"/>
        <w:spacing w:before="240"/>
        <w:jc w:val="left"/>
        <w:rPr>
          <w:sz w:val="24"/>
          <w:szCs w:val="24"/>
        </w:rPr>
      </w:pPr>
    </w:p>
    <w:p w:rsidR="00F43FEA" w:rsidRDefault="00F43FEA" w:rsidP="00F43FEA"/>
    <w:p w:rsidR="00F43FEA" w:rsidRDefault="00F43FEA" w:rsidP="00F43FEA">
      <w:pPr>
        <w:pStyle w:val="Ttulo3"/>
        <w:spacing w:before="240"/>
        <w:jc w:val="left"/>
        <w:rPr>
          <w:sz w:val="24"/>
          <w:szCs w:val="24"/>
        </w:rPr>
      </w:pPr>
    </w:p>
    <w:p w:rsidR="00F43FEA" w:rsidRDefault="00F43FEA" w:rsidP="00F43FEA"/>
    <w:p w:rsidR="00F43FEA" w:rsidRPr="003237DE" w:rsidRDefault="00F43FEA" w:rsidP="00F43FEA"/>
    <w:p w:rsidR="00E47FDD" w:rsidRPr="00F43FEA" w:rsidRDefault="00F43FEA" w:rsidP="00E72B5B">
      <w:pPr>
        <w:pStyle w:val="Ttulo3"/>
        <w:spacing w:before="240"/>
        <w:jc w:val="left"/>
        <w:rPr>
          <w:szCs w:val="24"/>
        </w:rPr>
      </w:pPr>
      <w:r w:rsidRPr="00F43FEA">
        <w:rPr>
          <w:szCs w:val="24"/>
        </w:rPr>
        <w:t>5</w:t>
      </w:r>
      <w:r w:rsidR="00E72B5B" w:rsidRPr="00F43FEA">
        <w:rPr>
          <w:szCs w:val="24"/>
        </w:rPr>
        <w:t xml:space="preserve">. </w:t>
      </w:r>
      <w:r w:rsidRPr="00F43FEA">
        <w:rPr>
          <w:szCs w:val="24"/>
        </w:rPr>
        <w:t>Comparação com modelo matemático de Raimundo et al. (2024)</w:t>
      </w:r>
    </w:p>
    <w:p w:rsidR="00F43FEA" w:rsidRDefault="00F43FEA" w:rsidP="00F43FEA">
      <w:r>
        <w:tab/>
        <w:t>De acordo com o artigo, tem-se a seguinte função objetivo:</w:t>
      </w:r>
    </w:p>
    <w:p w:rsidR="00F43FEA" w:rsidRPr="00F43FEA" w:rsidRDefault="00F43FEA" w:rsidP="00F43FEA">
      <m:oMathPara>
        <m:oMath>
          <m:r>
            <w:rPr>
              <w:rFonts w:ascii="Cambria Math" w:hAnsi="Cambria Math"/>
            </w:rPr>
            <m:t xml:space="preserve">Min </m:t>
          </m:r>
          <m:nary>
            <m:naryPr>
              <m:chr m:val="∑"/>
              <m:limLoc m:val="undOvr"/>
              <m:ctrlPr>
                <w:rPr>
                  <w:rFonts w:ascii="Cambria Math" w:hAnsi="Cambria Math"/>
                  <w:i/>
                </w:rPr>
              </m:ctrlPr>
            </m:naryPr>
            <m:sub>
              <m:r>
                <w:rPr>
                  <w:rFonts w:ascii="Cambria Math" w:hAnsi="Cambria Math"/>
                </w:rPr>
                <m:t>k=1</m:t>
              </m:r>
            </m:sub>
            <m:sup>
              <m:r>
                <w:rPr>
                  <w:rFonts w:ascii="Cambria Math" w:hAnsi="Cambria Math"/>
                </w:rPr>
                <m:t>E</m:t>
              </m:r>
            </m:sup>
            <m:e>
              <m:sSub>
                <m:sSubPr>
                  <m:ctrlPr>
                    <w:rPr>
                      <w:rFonts w:ascii="Cambria Math" w:hAnsi="Cambria Math"/>
                      <w:i/>
                    </w:rPr>
                  </m:ctrlPr>
                </m:sSubPr>
                <m:e>
                  <m:r>
                    <w:rPr>
                      <w:rFonts w:ascii="Cambria Math" w:hAnsi="Cambria Math"/>
                    </w:rPr>
                    <m:t>dp</m:t>
                  </m:r>
                </m:e>
                <m:sub>
                  <m:r>
                    <w:rPr>
                      <w:rFonts w:ascii="Cambria Math" w:hAnsi="Cambria Math"/>
                    </w:rPr>
                    <m:t>k</m:t>
                  </m:r>
                </m:sub>
              </m:sSub>
            </m:e>
          </m:nary>
        </m:oMath>
      </m:oMathPara>
    </w:p>
    <w:p w:rsidR="00F43FEA" w:rsidRDefault="00F43FEA" w:rsidP="00F43FEA">
      <w:r>
        <w:tab/>
      </w:r>
      <w:r w:rsidR="00115B4F">
        <w:t xml:space="preserve">O modelo proposto por Raimundo et al. (2024) tem como função objetivo a minimização da soma dos desvios padrão das dispersões químicas dos elementos presentes em cada pacote. Além disso, os autores impõem restrições explícitas que limitam o desvio padrão de cada elemento a no máximo 2%, assegurando rigoroso controle estatístico da variabilidade química entre pacotes. Essa abordagem confere maior precisão na uniformização da composição, porém gera um modelo de caráter </w:t>
      </w:r>
      <w:r w:rsidR="00115B4F" w:rsidRPr="00F07101">
        <w:rPr>
          <w:b/>
        </w:rPr>
        <w:t>não linear</w:t>
      </w:r>
      <w:r w:rsidR="00115B4F">
        <w:t>,</w:t>
      </w:r>
      <w:r w:rsidR="00F07101">
        <w:t xml:space="preserve"> pois o </w:t>
      </w:r>
      <w:r w:rsidR="00F07101" w:rsidRPr="00F07101">
        <w:rPr>
          <w:rStyle w:val="Forte"/>
        </w:rPr>
        <w:t>desvio padrão</w:t>
      </w:r>
      <w:r w:rsidR="00F07101" w:rsidRPr="00F07101">
        <w:t xml:space="preserve"> </w:t>
      </w:r>
      <w:r w:rsidR="00F07101" w:rsidRPr="00F07101">
        <w:rPr>
          <w:b/>
        </w:rPr>
        <w:t>envolve</w:t>
      </w:r>
      <w:r w:rsidR="00F07101" w:rsidRPr="00F07101">
        <w:t xml:space="preserve"> </w:t>
      </w:r>
      <w:r w:rsidR="00F07101" w:rsidRPr="00F07101">
        <w:rPr>
          <w:rStyle w:val="Forte"/>
        </w:rPr>
        <w:t>operações quadráticas e não lineare</w:t>
      </w:r>
      <w:r w:rsidR="00F07101">
        <w:rPr>
          <w:rStyle w:val="Forte"/>
        </w:rPr>
        <w:t>s</w:t>
      </w:r>
      <w:r w:rsidR="00F07101">
        <w:t xml:space="preserve"> (média, variância, raiz quadrada),</w:t>
      </w:r>
      <w:r w:rsidR="00115B4F">
        <w:t xml:space="preserve"> cuja resolução apresenta elevada complexidade computacional. Como destacado pelos autores, “para as instâncias com 5 e 6 pacotes, soluções factíveis são encontradas em até uma hora de execução, sem a certeza da otimalidade</w:t>
      </w:r>
      <w:r w:rsidR="00F07101">
        <w:t>”.</w:t>
      </w:r>
    </w:p>
    <w:p w:rsidR="00F07101" w:rsidRDefault="00F07101" w:rsidP="00F43FEA">
      <w:r>
        <w:t xml:space="preserve">No presente trabalho, optou-se por uma formulação alternativa: a função objetivo foi definida como a </w:t>
      </w:r>
      <w:r w:rsidRPr="00F07101">
        <w:rPr>
          <w:b/>
        </w:rPr>
        <w:t>minimização da soma dos desvios máximos entre pacotes</w:t>
      </w:r>
      <w:r>
        <w:t>. Essa escolha simplifica a modelagem, uma vez que o desvio máximo pode ser expresso de forma linear por meio de restrições que limitam a diferença entre as quantidades de um mesmo elemento em diferentes pacotes. Diferentemente do desvio padrão, que requer operações quadráticas e cálculo de raiz quadrada, o desvio máximo pode ser diretamente tratado pelo solver de otimização, resultando em maior eficiência e menor tempo de execução.</w:t>
      </w:r>
    </w:p>
    <w:p w:rsidR="00F07101" w:rsidRDefault="00F07101" w:rsidP="00F43FEA"/>
    <w:p w:rsidR="00F07101" w:rsidRDefault="00F07101" w:rsidP="00F07101">
      <w:pPr>
        <w:pStyle w:val="Ttulo3"/>
        <w:spacing w:before="240"/>
        <w:jc w:val="left"/>
        <w:rPr>
          <w:szCs w:val="24"/>
        </w:rPr>
      </w:pPr>
      <w:r>
        <w:rPr>
          <w:szCs w:val="24"/>
        </w:rPr>
        <w:t>6</w:t>
      </w:r>
      <w:r w:rsidRPr="00F43FEA">
        <w:rPr>
          <w:szCs w:val="24"/>
        </w:rPr>
        <w:t>. Co</w:t>
      </w:r>
      <w:r>
        <w:rPr>
          <w:szCs w:val="24"/>
        </w:rPr>
        <w:t>nclusão</w:t>
      </w:r>
    </w:p>
    <w:p w:rsidR="00F07101" w:rsidRDefault="00F07101" w:rsidP="00F07101">
      <w:r>
        <w:tab/>
        <w:t>Observou-se que, para o elemento ferro (Fe), em alguns cenários o desvio padrão ultrapassou o limite de 2% indicado no artigo original. Apesar disso, tais valores ainda podem ser considerados aceitáveis no contexto prático, uma vez que o ferro representa o componente majoritário na composição do sínter e pequenas variações não comprometem significativamente a qualidade do produto final.</w:t>
      </w:r>
    </w:p>
    <w:p w:rsidR="00F07101" w:rsidRDefault="002843F4" w:rsidP="00F07101">
      <w:r>
        <w:t>Desvio padrão do Fe para:</w:t>
      </w:r>
    </w:p>
    <w:p w:rsidR="002843F4" w:rsidRDefault="002843F4" w:rsidP="002843F4">
      <w:pPr>
        <w:pStyle w:val="PargrafodaLista"/>
        <w:numPr>
          <w:ilvl w:val="0"/>
          <w:numId w:val="1"/>
        </w:numPr>
      </w:pPr>
      <w:r>
        <w:t xml:space="preserve">3 pacotes = </w:t>
      </w:r>
      <w:r w:rsidRPr="00EF160E">
        <w:rPr>
          <w:rFonts w:ascii="Arial" w:eastAsia="Times New Roman" w:hAnsi="Arial" w:cs="Arial"/>
          <w:color w:val="000000"/>
          <w:sz w:val="20"/>
          <w:szCs w:val="22"/>
        </w:rPr>
        <w:t>2,3397</w:t>
      </w:r>
    </w:p>
    <w:p w:rsidR="002843F4" w:rsidRDefault="002843F4" w:rsidP="002843F4">
      <w:pPr>
        <w:pStyle w:val="PargrafodaLista"/>
        <w:numPr>
          <w:ilvl w:val="0"/>
          <w:numId w:val="1"/>
        </w:numPr>
      </w:pPr>
      <w:r>
        <w:t xml:space="preserve">4 pacotes = </w:t>
      </w:r>
      <w:r w:rsidRPr="00B27E53">
        <w:rPr>
          <w:rFonts w:ascii="Arial" w:eastAsia="Times New Roman" w:hAnsi="Arial" w:cs="Arial"/>
          <w:color w:val="000000"/>
          <w:sz w:val="20"/>
          <w:szCs w:val="20"/>
        </w:rPr>
        <w:t>0,5337</w:t>
      </w:r>
    </w:p>
    <w:p w:rsidR="002843F4" w:rsidRDefault="002843F4" w:rsidP="002843F4">
      <w:pPr>
        <w:pStyle w:val="PargrafodaLista"/>
        <w:numPr>
          <w:ilvl w:val="0"/>
          <w:numId w:val="1"/>
        </w:numPr>
      </w:pPr>
      <w:r>
        <w:t xml:space="preserve">5 pacotes = </w:t>
      </w:r>
      <w:r w:rsidRPr="003237DE">
        <w:rPr>
          <w:rFonts w:ascii="Arial" w:eastAsia="Times New Roman" w:hAnsi="Arial" w:cs="Arial"/>
          <w:color w:val="000000"/>
          <w:sz w:val="20"/>
          <w:szCs w:val="20"/>
        </w:rPr>
        <w:t>2,3009</w:t>
      </w:r>
    </w:p>
    <w:p w:rsidR="00F07101" w:rsidRDefault="00F07101" w:rsidP="002843F4">
      <w:pPr>
        <w:pStyle w:val="NormalWeb"/>
        <w:ind w:firstLine="360"/>
        <w:jc w:val="both"/>
      </w:pPr>
      <w:r>
        <w:t xml:space="preserve">Outra análise realizada refere-se ao peso total dos pacotes. Conforme destacado no artigo original, os valores convergem para 3 milhões de quilogramas em cada pacote, comportamento também observado em nossas simulações. Esse resultado evidencia a consistência do modelo em respeitar os limites operacionais definidos, assegurando que </w:t>
      </w:r>
      <w:r>
        <w:lastRenderedPageBreak/>
        <w:t xml:space="preserve">cada pacote seja produzido dentro da faixa estipulada e, ao mesmo tempo, mantendo a </w:t>
      </w:r>
      <w:r w:rsidR="002843F4">
        <w:rPr>
          <w:noProof/>
        </w:rPr>
        <w:drawing>
          <wp:anchor distT="0" distB="0" distL="114300" distR="114300" simplePos="0" relativeHeight="251660288" behindDoc="0" locked="0" layoutInCell="1" allowOverlap="1" wp14:anchorId="4300D091" wp14:editId="114E24BE">
            <wp:simplePos x="0" y="0"/>
            <wp:positionH relativeFrom="margin">
              <wp:align>center</wp:align>
            </wp:positionH>
            <wp:positionV relativeFrom="page">
              <wp:posOffset>1666875</wp:posOffset>
            </wp:positionV>
            <wp:extent cx="5393055" cy="3517265"/>
            <wp:effectExtent l="0" t="0" r="0" b="6985"/>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93055" cy="3517265"/>
                    </a:xfrm>
                    <a:prstGeom prst="rect">
                      <a:avLst/>
                    </a:prstGeom>
                    <a:noFill/>
                    <a:ln>
                      <a:noFill/>
                    </a:ln>
                  </pic:spPr>
                </pic:pic>
              </a:graphicData>
            </a:graphic>
            <wp14:sizeRelH relativeFrom="page">
              <wp14:pctWidth>0</wp14:pctWidth>
            </wp14:sizeRelH>
            <wp14:sizeRelV relativeFrom="page">
              <wp14:pctHeight>0</wp14:pctHeight>
            </wp14:sizeRelV>
          </wp:anchor>
        </w:drawing>
      </w:r>
      <w:r>
        <w:t>uniformidade da distribuição das matérias-primas.</w:t>
      </w:r>
    </w:p>
    <w:p w:rsidR="00F07101" w:rsidRDefault="00F07101" w:rsidP="002843F4">
      <w:r>
        <w:tab/>
        <w:t>Dessa forma, a utilização do desvio máximo, apesar de ser uma medida mais simples, mostrou-se adequada para capturar a variabilidade entre pacotes e ao mesmo tempo viabilizar a resolução do modelo em instâncias de maior porte.</w:t>
      </w:r>
    </w:p>
    <w:p w:rsidR="00F43FEA" w:rsidRDefault="002843F4" w:rsidP="00736F44">
      <w:pPr>
        <w:jc w:val="left"/>
      </w:pPr>
      <w:r>
        <w:t xml:space="preserve">Código disponível em: </w:t>
      </w:r>
      <w:hyperlink r:id="rId14" w:history="1">
        <w:r w:rsidR="00736F44" w:rsidRPr="00736F44">
          <w:rPr>
            <w:rStyle w:val="Hyperlink"/>
          </w:rPr>
          <w:t>https://github.com/matheus-santana1/Modelo-Matematico-Otimizado-de-Selecao-de-Materias</w:t>
        </w:r>
      </w:hyperlink>
    </w:p>
    <w:p w:rsidR="00736F44" w:rsidRPr="00F43FEA" w:rsidRDefault="00736F44" w:rsidP="00736F44">
      <w:pPr>
        <w:jc w:val="left"/>
      </w:pPr>
    </w:p>
    <w:p w:rsidR="00E47FDD" w:rsidRDefault="002843F4">
      <w:pPr>
        <w:keepNext/>
        <w:pBdr>
          <w:top w:val="nil"/>
          <w:left w:val="nil"/>
          <w:bottom w:val="nil"/>
          <w:right w:val="nil"/>
          <w:between w:val="nil"/>
        </w:pBdr>
        <w:spacing w:before="240"/>
        <w:jc w:val="left"/>
      </w:pPr>
      <w:r>
        <w:rPr>
          <w:b/>
          <w:color w:val="000000"/>
          <w:sz w:val="26"/>
          <w:szCs w:val="26"/>
        </w:rPr>
        <w:t>7. Referências</w:t>
      </w:r>
    </w:p>
    <w:p w:rsidR="005412A0" w:rsidRPr="002843F4" w:rsidRDefault="00E4422C" w:rsidP="002843F4">
      <w:r>
        <w:t>Raimundo, G. R., Tedesco, C. R. de O., Shiguemoto, G. H. B., &amp; Shiguemoto, A. L. (2024) Modelo matemático para seleção de matérias-primas em siderúrgicas. In: Simpósio Brasileiro de Pesquisa Operacional, Fortaleza, CE.</w:t>
      </w:r>
    </w:p>
    <w:sectPr w:rsidR="005412A0" w:rsidRPr="002843F4">
      <w:headerReference w:type="even" r:id="rId15"/>
      <w:headerReference w:type="default" r:id="rId16"/>
      <w:footerReference w:type="even" r:id="rId17"/>
      <w:footerReference w:type="first" r:id="rId18"/>
      <w:type w:val="continuous"/>
      <w:pgSz w:w="11907" w:h="16840"/>
      <w:pgMar w:top="1985" w:right="1701" w:bottom="1418" w:left="1701" w:header="964" w:footer="964" w:gutter="0"/>
      <w:pgNumType w:start="10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7726" w:rsidRDefault="005F7726">
      <w:pPr>
        <w:spacing w:before="0"/>
      </w:pPr>
      <w:r>
        <w:separator/>
      </w:r>
    </w:p>
  </w:endnote>
  <w:endnote w:type="continuationSeparator" w:id="0">
    <w:p w:rsidR="005F7726" w:rsidRDefault="005F7726">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Pr>
      <w:jc w:val="left"/>
    </w:pPr>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roofErr w:type="spellStart"/>
    <w:r>
      <w:t>Proceedings</w:t>
    </w:r>
    <w:proofErr w:type="spellEnd"/>
    <w:r>
      <w:t xml:space="preserve"> </w:t>
    </w:r>
    <w:proofErr w:type="spellStart"/>
    <w:r>
      <w:t>of</w:t>
    </w:r>
    <w:proofErr w:type="spellEnd"/>
    <w:r>
      <w:t xml:space="preserve"> </w:t>
    </w:r>
    <w:proofErr w:type="spellStart"/>
    <w:r>
      <w:t>the</w:t>
    </w:r>
    <w:proofErr w:type="spellEnd"/>
    <w:r>
      <w:t xml:space="preserve"> XII SIBGRAPI (</w:t>
    </w:r>
    <w:proofErr w:type="spellStart"/>
    <w:r>
      <w:t>October</w:t>
    </w:r>
    <w:proofErr w:type="spellEnd"/>
    <w:r>
      <w:t xml:space="preserve"> 1999) 101-104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7726" w:rsidRDefault="005F7726">
      <w:pPr>
        <w:spacing w:before="0"/>
      </w:pPr>
      <w:r>
        <w:separator/>
      </w:r>
    </w:p>
  </w:footnote>
  <w:footnote w:type="continuationSeparator" w:id="0">
    <w:p w:rsidR="005F7726" w:rsidRDefault="005F7726">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r>
      <w:fldChar w:fldCharType="begin"/>
    </w:r>
    <w:r>
      <w:instrText>PAGE</w:instrText>
    </w:r>
    <w:r>
      <w:fldChar w:fldCharType="end"/>
    </w:r>
  </w:p>
  <w:p w:rsidR="00E72B5B" w:rsidRDefault="00E72B5B">
    <w:pPr>
      <w:jc w:val="right"/>
    </w:pPr>
    <w:r>
      <w:t xml:space="preserve">S. </w:t>
    </w:r>
    <w:proofErr w:type="spellStart"/>
    <w:r>
      <w:t>Sandri</w:t>
    </w:r>
    <w:proofErr w:type="spellEnd"/>
    <w:r>
      <w:t xml:space="preserve">, J. Stolfi, </w:t>
    </w:r>
    <w:proofErr w:type="spellStart"/>
    <w:proofErr w:type="gramStart"/>
    <w:r>
      <w:t>L.Velho</w:t>
    </w:r>
    <w:proofErr w:type="spellEnd"/>
    <w:proofErr w:type="gramEnd"/>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 w:rsidR="00E72B5B" w:rsidRDefault="00E72B5B">
    <w:pPr>
      <w:tabs>
        <w:tab w:val="right" w:pos="9356"/>
      </w:tabs>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r>
      <w:fldChar w:fldCharType="begin"/>
    </w:r>
    <w:r>
      <w:instrText>PAGE</w:instrText>
    </w:r>
    <w:r>
      <w:fldChar w:fldCharType="end"/>
    </w:r>
  </w:p>
  <w:p w:rsidR="00E72B5B" w:rsidRDefault="00E72B5B">
    <w:pPr>
      <w:jc w:val="right"/>
    </w:pPr>
    <w:r>
      <w:t xml:space="preserve">S. </w:t>
    </w:r>
    <w:proofErr w:type="spellStart"/>
    <w:r>
      <w:t>Sandri</w:t>
    </w:r>
    <w:proofErr w:type="spellEnd"/>
    <w:r>
      <w:t xml:space="preserve">, J. Stolfi, </w:t>
    </w:r>
    <w:proofErr w:type="spellStart"/>
    <w:proofErr w:type="gramStart"/>
    <w:r>
      <w:t>L.Velho</w:t>
    </w:r>
    <w:proofErr w:type="spellEnd"/>
    <w:proofErr w:type="gramEnd"/>
  </w:p>
  <w:p w:rsidR="00E72B5B" w:rsidRDefault="00E72B5B"/>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B5B" w:rsidRDefault="00E72B5B">
    <w:pPr>
      <w:tabs>
        <w:tab w:val="right" w:pos="9356"/>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612490"/>
    <w:multiLevelType w:val="hybridMultilevel"/>
    <w:tmpl w:val="A790B080"/>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FDD"/>
    <w:rsid w:val="00115B4F"/>
    <w:rsid w:val="00137C7C"/>
    <w:rsid w:val="001A0320"/>
    <w:rsid w:val="002843F4"/>
    <w:rsid w:val="002877E0"/>
    <w:rsid w:val="002E47E7"/>
    <w:rsid w:val="003237DE"/>
    <w:rsid w:val="00381780"/>
    <w:rsid w:val="00383BED"/>
    <w:rsid w:val="00491780"/>
    <w:rsid w:val="005412A0"/>
    <w:rsid w:val="005F7726"/>
    <w:rsid w:val="00675851"/>
    <w:rsid w:val="006816CA"/>
    <w:rsid w:val="006D33A6"/>
    <w:rsid w:val="0070633F"/>
    <w:rsid w:val="00736F44"/>
    <w:rsid w:val="007B6CC0"/>
    <w:rsid w:val="00834597"/>
    <w:rsid w:val="008811BD"/>
    <w:rsid w:val="009806DA"/>
    <w:rsid w:val="009975C2"/>
    <w:rsid w:val="009B35C8"/>
    <w:rsid w:val="00A951E3"/>
    <w:rsid w:val="00AE3C75"/>
    <w:rsid w:val="00B27E53"/>
    <w:rsid w:val="00CA2201"/>
    <w:rsid w:val="00D03E7E"/>
    <w:rsid w:val="00D231F7"/>
    <w:rsid w:val="00D26E25"/>
    <w:rsid w:val="00D67C19"/>
    <w:rsid w:val="00D94E39"/>
    <w:rsid w:val="00DA296C"/>
    <w:rsid w:val="00DA7507"/>
    <w:rsid w:val="00DC38A2"/>
    <w:rsid w:val="00E4422C"/>
    <w:rsid w:val="00E47FDD"/>
    <w:rsid w:val="00E72B5B"/>
    <w:rsid w:val="00EF160E"/>
    <w:rsid w:val="00F07101"/>
    <w:rsid w:val="00F173B4"/>
    <w:rsid w:val="00F43FEA"/>
    <w:rsid w:val="00FD255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D8CA"/>
  <w15:docId w15:val="{F58F4826-DBF7-4A4D-BBDD-ACEAF80FC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sz w:val="24"/>
        <w:szCs w:val="24"/>
        <w:lang w:val="pt-BR" w:eastAsia="pt-BR" w:bidi="ar-SA"/>
      </w:rPr>
    </w:rPrDefault>
    <w:pPrDefault>
      <w:pPr>
        <w:tabs>
          <w:tab w:val="left" w:pos="720"/>
        </w:tabs>
        <w:spacing w:before="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43FEA"/>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har"/>
    <w:pPr>
      <w:keepNext/>
      <w:keepLines/>
      <w:spacing w:before="360" w:after="80"/>
      <w:outlineLvl w:val="1"/>
    </w:pPr>
    <w:rPr>
      <w:b/>
      <w:sz w:val="36"/>
      <w:szCs w:val="36"/>
    </w:rPr>
  </w:style>
  <w:style w:type="paragraph" w:styleId="Ttulo3">
    <w:name w:val="heading 3"/>
    <w:basedOn w:val="Normal"/>
    <w:next w:val="Normal"/>
    <w:link w:val="Ttulo3Char"/>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character" w:styleId="TextodoEspaoReservado">
    <w:name w:val="Placeholder Text"/>
    <w:basedOn w:val="Fontepargpadro"/>
    <w:uiPriority w:val="99"/>
    <w:semiHidden/>
    <w:rsid w:val="0070633F"/>
    <w:rPr>
      <w:color w:val="808080"/>
    </w:rPr>
  </w:style>
  <w:style w:type="paragraph" w:styleId="Textodebalo">
    <w:name w:val="Balloon Text"/>
    <w:basedOn w:val="Normal"/>
    <w:link w:val="TextodebaloChar"/>
    <w:uiPriority w:val="99"/>
    <w:semiHidden/>
    <w:unhideWhenUsed/>
    <w:rsid w:val="006D33A6"/>
    <w:pPr>
      <w:spacing w:before="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6D33A6"/>
    <w:rPr>
      <w:rFonts w:ascii="Segoe UI" w:hAnsi="Segoe UI" w:cs="Segoe UI"/>
      <w:sz w:val="18"/>
      <w:szCs w:val="18"/>
    </w:rPr>
  </w:style>
  <w:style w:type="paragraph" w:styleId="Rodap">
    <w:name w:val="footer"/>
    <w:basedOn w:val="Normal"/>
    <w:link w:val="RodapChar"/>
    <w:uiPriority w:val="99"/>
    <w:unhideWhenUsed/>
    <w:rsid w:val="00675851"/>
    <w:pPr>
      <w:tabs>
        <w:tab w:val="clear" w:pos="720"/>
        <w:tab w:val="center" w:pos="4252"/>
        <w:tab w:val="right" w:pos="8504"/>
      </w:tabs>
      <w:spacing w:before="0"/>
    </w:pPr>
  </w:style>
  <w:style w:type="character" w:customStyle="1" w:styleId="RodapChar">
    <w:name w:val="Rodapé Char"/>
    <w:basedOn w:val="Fontepargpadro"/>
    <w:link w:val="Rodap"/>
    <w:uiPriority w:val="99"/>
    <w:rsid w:val="00675851"/>
  </w:style>
  <w:style w:type="paragraph" w:styleId="Cabealho">
    <w:name w:val="header"/>
    <w:basedOn w:val="Normal"/>
    <w:link w:val="CabealhoChar"/>
    <w:uiPriority w:val="99"/>
    <w:unhideWhenUsed/>
    <w:rsid w:val="00675851"/>
    <w:pPr>
      <w:tabs>
        <w:tab w:val="clear" w:pos="720"/>
        <w:tab w:val="center" w:pos="4252"/>
        <w:tab w:val="right" w:pos="8504"/>
      </w:tabs>
      <w:spacing w:before="0"/>
    </w:pPr>
  </w:style>
  <w:style w:type="character" w:customStyle="1" w:styleId="CabealhoChar">
    <w:name w:val="Cabeçalho Char"/>
    <w:basedOn w:val="Fontepargpadro"/>
    <w:link w:val="Cabealho"/>
    <w:uiPriority w:val="99"/>
    <w:rsid w:val="00675851"/>
  </w:style>
  <w:style w:type="paragraph" w:styleId="NormalWeb">
    <w:name w:val="Normal (Web)"/>
    <w:basedOn w:val="Normal"/>
    <w:uiPriority w:val="99"/>
    <w:unhideWhenUsed/>
    <w:rsid w:val="00675851"/>
    <w:pPr>
      <w:tabs>
        <w:tab w:val="clear" w:pos="720"/>
      </w:tabs>
      <w:spacing w:before="100" w:beforeAutospacing="1" w:after="100" w:afterAutospacing="1"/>
      <w:jc w:val="left"/>
    </w:pPr>
    <w:rPr>
      <w:rFonts w:ascii="Times New Roman" w:eastAsia="Times New Roman" w:hAnsi="Times New Roman" w:cs="Times New Roman"/>
    </w:rPr>
  </w:style>
  <w:style w:type="character" w:customStyle="1" w:styleId="Ttulo2Char">
    <w:name w:val="Título 2 Char"/>
    <w:basedOn w:val="Fontepargpadro"/>
    <w:link w:val="Ttulo2"/>
    <w:rsid w:val="001A0320"/>
    <w:rPr>
      <w:b/>
      <w:sz w:val="36"/>
      <w:szCs w:val="36"/>
    </w:rPr>
  </w:style>
  <w:style w:type="table" w:styleId="Tabelacomgrade">
    <w:name w:val="Table Grid"/>
    <w:basedOn w:val="Tabelanormal"/>
    <w:uiPriority w:val="39"/>
    <w:rsid w:val="00137C7C"/>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har">
    <w:name w:val="Título 3 Char"/>
    <w:basedOn w:val="Fontepargpadro"/>
    <w:link w:val="Ttulo3"/>
    <w:rsid w:val="007B6CC0"/>
    <w:rPr>
      <w:b/>
      <w:sz w:val="28"/>
      <w:szCs w:val="28"/>
    </w:rPr>
  </w:style>
  <w:style w:type="character" w:styleId="Forte">
    <w:name w:val="Strong"/>
    <w:basedOn w:val="Fontepargpadro"/>
    <w:uiPriority w:val="22"/>
    <w:qFormat/>
    <w:rsid w:val="00F07101"/>
    <w:rPr>
      <w:b/>
      <w:bCs/>
    </w:rPr>
  </w:style>
  <w:style w:type="paragraph" w:styleId="PargrafodaLista">
    <w:name w:val="List Paragraph"/>
    <w:basedOn w:val="Normal"/>
    <w:uiPriority w:val="34"/>
    <w:qFormat/>
    <w:rsid w:val="002843F4"/>
    <w:pPr>
      <w:ind w:left="720"/>
      <w:contextualSpacing/>
    </w:pPr>
  </w:style>
  <w:style w:type="character" w:styleId="Hyperlink">
    <w:name w:val="Hyperlink"/>
    <w:basedOn w:val="Fontepargpadro"/>
    <w:uiPriority w:val="99"/>
    <w:unhideWhenUsed/>
    <w:rsid w:val="00736F4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45143">
      <w:bodyDiv w:val="1"/>
      <w:marLeft w:val="0"/>
      <w:marRight w:val="0"/>
      <w:marTop w:val="0"/>
      <w:marBottom w:val="0"/>
      <w:divBdr>
        <w:top w:val="none" w:sz="0" w:space="0" w:color="auto"/>
        <w:left w:val="none" w:sz="0" w:space="0" w:color="auto"/>
        <w:bottom w:val="none" w:sz="0" w:space="0" w:color="auto"/>
        <w:right w:val="none" w:sz="0" w:space="0" w:color="auto"/>
      </w:divBdr>
    </w:div>
    <w:div w:id="394354848">
      <w:bodyDiv w:val="1"/>
      <w:marLeft w:val="0"/>
      <w:marRight w:val="0"/>
      <w:marTop w:val="0"/>
      <w:marBottom w:val="0"/>
      <w:divBdr>
        <w:top w:val="none" w:sz="0" w:space="0" w:color="auto"/>
        <w:left w:val="none" w:sz="0" w:space="0" w:color="auto"/>
        <w:bottom w:val="none" w:sz="0" w:space="0" w:color="auto"/>
        <w:right w:val="none" w:sz="0" w:space="0" w:color="auto"/>
      </w:divBdr>
    </w:div>
    <w:div w:id="534003528">
      <w:bodyDiv w:val="1"/>
      <w:marLeft w:val="0"/>
      <w:marRight w:val="0"/>
      <w:marTop w:val="0"/>
      <w:marBottom w:val="0"/>
      <w:divBdr>
        <w:top w:val="none" w:sz="0" w:space="0" w:color="auto"/>
        <w:left w:val="none" w:sz="0" w:space="0" w:color="auto"/>
        <w:bottom w:val="none" w:sz="0" w:space="0" w:color="auto"/>
        <w:right w:val="none" w:sz="0" w:space="0" w:color="auto"/>
      </w:divBdr>
    </w:div>
    <w:div w:id="659238135">
      <w:bodyDiv w:val="1"/>
      <w:marLeft w:val="0"/>
      <w:marRight w:val="0"/>
      <w:marTop w:val="0"/>
      <w:marBottom w:val="0"/>
      <w:divBdr>
        <w:top w:val="none" w:sz="0" w:space="0" w:color="auto"/>
        <w:left w:val="none" w:sz="0" w:space="0" w:color="auto"/>
        <w:bottom w:val="none" w:sz="0" w:space="0" w:color="auto"/>
        <w:right w:val="none" w:sz="0" w:space="0" w:color="auto"/>
      </w:divBdr>
    </w:div>
    <w:div w:id="894127561">
      <w:bodyDiv w:val="1"/>
      <w:marLeft w:val="0"/>
      <w:marRight w:val="0"/>
      <w:marTop w:val="0"/>
      <w:marBottom w:val="0"/>
      <w:divBdr>
        <w:top w:val="none" w:sz="0" w:space="0" w:color="auto"/>
        <w:left w:val="none" w:sz="0" w:space="0" w:color="auto"/>
        <w:bottom w:val="none" w:sz="0" w:space="0" w:color="auto"/>
        <w:right w:val="none" w:sz="0" w:space="0" w:color="auto"/>
      </w:divBdr>
    </w:div>
    <w:div w:id="1893229913">
      <w:bodyDiv w:val="1"/>
      <w:marLeft w:val="0"/>
      <w:marRight w:val="0"/>
      <w:marTop w:val="0"/>
      <w:marBottom w:val="0"/>
      <w:divBdr>
        <w:top w:val="none" w:sz="0" w:space="0" w:color="auto"/>
        <w:left w:val="none" w:sz="0" w:space="0" w:color="auto"/>
        <w:bottom w:val="none" w:sz="0" w:space="0" w:color="auto"/>
        <w:right w:val="none" w:sz="0" w:space="0" w:color="auto"/>
      </w:divBdr>
    </w:div>
    <w:div w:id="1897012213">
      <w:bodyDiv w:val="1"/>
      <w:marLeft w:val="0"/>
      <w:marRight w:val="0"/>
      <w:marTop w:val="0"/>
      <w:marBottom w:val="0"/>
      <w:divBdr>
        <w:top w:val="none" w:sz="0" w:space="0" w:color="auto"/>
        <w:left w:val="none" w:sz="0" w:space="0" w:color="auto"/>
        <w:bottom w:val="none" w:sz="0" w:space="0" w:color="auto"/>
        <w:right w:val="none" w:sz="0" w:space="0" w:color="auto"/>
      </w:divBdr>
    </w:div>
    <w:div w:id="21420744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github.com/matheus-santana1/Modelo-Matematico-Otimizado-de-Selecao-de-Mater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10918-473E-4901-8A6B-18B755E26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11</Pages>
  <Words>2445</Words>
  <Characters>13208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Matheus Santana</dc:creator>
  <cp:lastModifiedBy>Matheus Santana</cp:lastModifiedBy>
  <cp:revision>11</cp:revision>
  <cp:lastPrinted>2025-08-24T23:30:00Z</cp:lastPrinted>
  <dcterms:created xsi:type="dcterms:W3CDTF">2025-08-24T13:56:00Z</dcterms:created>
  <dcterms:modified xsi:type="dcterms:W3CDTF">2025-08-25T00:27:00Z</dcterms:modified>
</cp:coreProperties>
</file>